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8"/>
        <w:tabs>
          <w:tab w:val="right" w:pos="9639"/>
        </w:tabs>
        <w:spacing w:after="0"/>
        <w:rPr>
          <w:b/>
          <w:i/>
          <w:sz w:val="28"/>
        </w:rPr>
      </w:pPr>
      <w:r>
        <w:rPr>
          <w:b/>
          <w:sz w:val="24"/>
        </w:rPr>
        <w:t>3GPP TSG-RAN WG3 Meeting #121bis</w:t>
      </w:r>
      <w:r>
        <w:rPr>
          <w:b/>
          <w:i/>
          <w:sz w:val="28"/>
        </w:rPr>
        <w:tab/>
      </w:r>
      <w:r>
        <w:rPr>
          <w:b/>
          <w:iCs/>
          <w:sz w:val="28"/>
        </w:rPr>
        <w:t>R3-235990</w:t>
      </w:r>
    </w:p>
    <w:p>
      <w:pPr>
        <w:pStyle w:val="68"/>
        <w:rPr>
          <w:b/>
          <w:sz w:val="24"/>
        </w:rPr>
      </w:pPr>
      <w:bookmarkStart w:id="0" w:name="_Hlk57190503"/>
      <w:r>
        <w:rPr>
          <w:b/>
          <w:sz w:val="24"/>
        </w:rPr>
        <w:t>Xiamen, PR China, 9</w:t>
      </w:r>
      <w:r>
        <w:rPr>
          <w:b/>
          <w:sz w:val="24"/>
          <w:vertAlign w:val="superscript"/>
        </w:rPr>
        <w:t>th</w:t>
      </w:r>
      <w:r>
        <w:rPr>
          <w:b/>
          <w:sz w:val="24"/>
        </w:rPr>
        <w:t xml:space="preserve"> – 13</w:t>
      </w:r>
      <w:r>
        <w:rPr>
          <w:b/>
          <w:sz w:val="24"/>
          <w:vertAlign w:val="superscript"/>
        </w:rPr>
        <w:t>th</w:t>
      </w:r>
      <w:r>
        <w:rPr>
          <w:b/>
          <w:sz w:val="24"/>
        </w:rPr>
        <w:t xml:space="preserve"> October 2023</w:t>
      </w:r>
      <w:bookmarkEnd w:id="0"/>
    </w:p>
    <w:tbl>
      <w:tblPr>
        <w:tblStyle w:val="2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8"/>
              <w:spacing w:after="0"/>
              <w:jc w:val="right"/>
            </w:pPr>
          </w:p>
        </w:tc>
        <w:tc>
          <w:tcPr>
            <w:tcW w:w="1559" w:type="dxa"/>
            <w:shd w:val="pct30" w:color="FFFF00" w:fill="auto"/>
          </w:tcPr>
          <w:p>
            <w:pPr>
              <w:pStyle w:val="68"/>
              <w:spacing w:after="0"/>
              <w:jc w:val="right"/>
              <w:rPr>
                <w:b/>
                <w:sz w:val="28"/>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pPr>
              <w:pStyle w:val="68"/>
              <w:spacing w:after="0"/>
              <w:jc w:val="center"/>
            </w:pPr>
            <w:r>
              <w:rPr>
                <w:b/>
                <w:sz w:val="28"/>
              </w:rPr>
              <w:t>CR</w:t>
            </w:r>
          </w:p>
        </w:tc>
        <w:tc>
          <w:tcPr>
            <w:tcW w:w="1276" w:type="dxa"/>
            <w:shd w:val="pct30" w:color="FFFF00" w:fill="auto"/>
          </w:tcPr>
          <w:p>
            <w:pPr>
              <w:pStyle w:val="68"/>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68"/>
              <w:tabs>
                <w:tab w:val="right" w:pos="625"/>
              </w:tabs>
              <w:spacing w:after="0"/>
              <w:jc w:val="center"/>
            </w:pPr>
            <w:r>
              <w:rPr>
                <w:b/>
                <w:bCs/>
                <w:sz w:val="28"/>
              </w:rPr>
              <w:t>rev</w:t>
            </w:r>
          </w:p>
        </w:tc>
        <w:tc>
          <w:tcPr>
            <w:tcW w:w="992" w:type="dxa"/>
            <w:shd w:val="pct30" w:color="FFFF00" w:fill="auto"/>
          </w:tcPr>
          <w:p>
            <w:pPr>
              <w:pStyle w:val="6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68"/>
              <w:tabs>
                <w:tab w:val="right" w:pos="1825"/>
              </w:tabs>
              <w:spacing w:after="0"/>
              <w:jc w:val="center"/>
            </w:pPr>
            <w:r>
              <w:rPr>
                <w:b/>
                <w:sz w:val="28"/>
                <w:szCs w:val="28"/>
              </w:rPr>
              <w:t>Current version:</w:t>
            </w:r>
          </w:p>
        </w:tc>
        <w:tc>
          <w:tcPr>
            <w:tcW w:w="1701" w:type="dxa"/>
            <w:shd w:val="pct30" w:color="FFFF00" w:fill="auto"/>
          </w:tcPr>
          <w:p>
            <w:pPr>
              <w:pStyle w:val="68"/>
              <w:spacing w:after="0"/>
              <w:jc w:val="center"/>
              <w:rPr>
                <w:sz w:val="28"/>
              </w:rPr>
            </w:pPr>
            <w:r>
              <w:fldChar w:fldCharType="begin"/>
            </w:r>
            <w:r>
              <w:instrText xml:space="preserve"> DOCPROPERTY  Revision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2"/>
                <w:rFonts w:cs="Arial"/>
                <w:b/>
                <w:i/>
                <w:color w:val="FF0000"/>
              </w:rPr>
              <w:t>HE</w:t>
            </w:r>
            <w:bookmarkStart w:id="1" w:name="_Hlt497126619"/>
            <w:r>
              <w:rPr>
                <w:rStyle w:val="32"/>
                <w:rFonts w:cs="Arial"/>
                <w:b/>
                <w:i/>
                <w:color w:val="FF0000"/>
              </w:rPr>
              <w:t>L</w:t>
            </w:r>
            <w:bookmarkEnd w:id="1"/>
            <w:r>
              <w:rPr>
                <w:rStyle w:val="32"/>
                <w:rFonts w:cs="Arial"/>
                <w:b/>
                <w:i/>
                <w:color w:val="FF0000"/>
              </w:rPr>
              <w:t>P</w:t>
            </w:r>
            <w:r>
              <w:rPr>
                <w:rStyle w:val="3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2"/>
                <w:rFonts w:cs="Arial"/>
                <w:i/>
              </w:rPr>
              <w:t>http://www.3gpp.org/Change-Requests</w:t>
            </w:r>
            <w:r>
              <w:rPr>
                <w:rStyle w:val="3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8"/>
              <w:spacing w:after="0"/>
              <w:rPr>
                <w:sz w:val="8"/>
                <w:szCs w:val="8"/>
              </w:rPr>
            </w:pPr>
          </w:p>
        </w:tc>
      </w:tr>
    </w:tbl>
    <w:p>
      <w:pPr>
        <w:rPr>
          <w:sz w:val="8"/>
          <w:szCs w:val="8"/>
        </w:rPr>
      </w:pPr>
    </w:p>
    <w:tbl>
      <w:tblPr>
        <w:tblStyle w:val="2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8"/>
              <w:tabs>
                <w:tab w:val="right" w:pos="2751"/>
              </w:tabs>
              <w:spacing w:after="0"/>
              <w:rPr>
                <w:b/>
                <w:i/>
              </w:rPr>
            </w:pPr>
            <w:r>
              <w:rPr>
                <w:b/>
                <w:i/>
              </w:rPr>
              <w:t>Proposed change affects:</w:t>
            </w:r>
          </w:p>
        </w:tc>
        <w:tc>
          <w:tcPr>
            <w:tcW w:w="1418" w:type="dxa"/>
          </w:tcPr>
          <w:p>
            <w:pPr>
              <w:pStyle w:val="6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8"/>
              <w:spacing w:after="0"/>
              <w:jc w:val="center"/>
              <w:rPr>
                <w:b/>
                <w:caps/>
              </w:rPr>
            </w:pPr>
          </w:p>
        </w:tc>
        <w:tc>
          <w:tcPr>
            <w:tcW w:w="709" w:type="dxa"/>
            <w:tcBorders>
              <w:left w:val="single" w:color="auto" w:sz="4" w:space="0"/>
            </w:tcBorders>
          </w:tcPr>
          <w:p>
            <w:pPr>
              <w:pStyle w:val="6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caps/>
              </w:rPr>
            </w:pPr>
          </w:p>
        </w:tc>
        <w:tc>
          <w:tcPr>
            <w:tcW w:w="2126" w:type="dxa"/>
          </w:tcPr>
          <w:p>
            <w:pPr>
              <w:pStyle w:val="6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8"/>
              <w:spacing w:after="0"/>
              <w:jc w:val="center"/>
              <w:rPr>
                <w:b/>
                <w:caps/>
              </w:rPr>
            </w:pPr>
            <w:r>
              <w:rPr>
                <w:b/>
                <w:caps/>
              </w:rPr>
              <w:t>X</w:t>
            </w:r>
          </w:p>
        </w:tc>
        <w:tc>
          <w:tcPr>
            <w:tcW w:w="1418" w:type="dxa"/>
            <w:tcBorders>
              <w:left w:val="nil"/>
            </w:tcBorders>
          </w:tcPr>
          <w:p>
            <w:pPr>
              <w:pStyle w:val="6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bCs/>
                <w:caps/>
              </w:rPr>
            </w:pPr>
          </w:p>
        </w:tc>
      </w:tr>
    </w:tbl>
    <w:p>
      <w:pPr>
        <w:rPr>
          <w:sz w:val="8"/>
          <w:szCs w:val="8"/>
        </w:rPr>
      </w:pPr>
    </w:p>
    <w:tbl>
      <w:tblPr>
        <w:tblStyle w:val="2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8"/>
              <w:spacing w:after="0"/>
              <w:ind w:left="100"/>
            </w:pPr>
            <w:r>
              <w:fldChar w:fldCharType="begin"/>
            </w:r>
            <w:r>
              <w:instrText xml:space="preserve"> DOCPROPERTY  CrTitle  \* MERGEFORMAT </w:instrText>
            </w:r>
            <w:r>
              <w:fldChar w:fldCharType="separate"/>
            </w:r>
            <w:r>
              <w:t>(BLCR to 38.300) Introduction of R18 QoE measurement Title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8"/>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Work item code:</w:t>
            </w:r>
          </w:p>
        </w:tc>
        <w:tc>
          <w:tcPr>
            <w:tcW w:w="3686" w:type="dxa"/>
            <w:gridSpan w:val="5"/>
            <w:shd w:val="pct30" w:color="FFFF00" w:fill="auto"/>
          </w:tcPr>
          <w:p>
            <w:pPr>
              <w:pStyle w:val="68"/>
              <w:spacing w:after="0"/>
              <w:ind w:left="100"/>
            </w:pPr>
            <w:r>
              <w:fldChar w:fldCharType="begin"/>
            </w:r>
            <w:r>
              <w:instrText xml:space="preserve"> DOCPROPERTY  RelatedWis  \* MERGEFORMAT </w:instrText>
            </w:r>
            <w:r>
              <w:fldChar w:fldCharType="separate"/>
            </w:r>
            <w:r>
              <w:rPr>
                <w:rFonts w:hint="eastAsia" w:eastAsia="MS Mincho"/>
                <w:color w:val="000000"/>
              </w:rPr>
              <w:t>NR_QoE_enh</w:t>
            </w:r>
            <w:r>
              <w:rPr>
                <w:rFonts w:eastAsia="MS Mincho"/>
                <w:color w:val="000000"/>
              </w:rPr>
              <w:t>-Core</w:t>
            </w:r>
            <w:r>
              <w:fldChar w:fldCharType="end"/>
            </w:r>
          </w:p>
        </w:tc>
        <w:tc>
          <w:tcPr>
            <w:tcW w:w="567" w:type="dxa"/>
            <w:tcBorders>
              <w:left w:val="nil"/>
            </w:tcBorders>
          </w:tcPr>
          <w:p>
            <w:pPr>
              <w:pStyle w:val="68"/>
              <w:spacing w:after="0"/>
              <w:ind w:right="100"/>
            </w:pPr>
          </w:p>
        </w:tc>
        <w:tc>
          <w:tcPr>
            <w:tcW w:w="1417" w:type="dxa"/>
            <w:gridSpan w:val="3"/>
            <w:tcBorders>
              <w:left w:val="nil"/>
            </w:tcBorders>
          </w:tcPr>
          <w:p>
            <w:pPr>
              <w:pStyle w:val="68"/>
              <w:spacing w:after="0"/>
              <w:jc w:val="right"/>
            </w:pPr>
            <w:r>
              <w:rPr>
                <w:b/>
                <w:i/>
              </w:rPr>
              <w:t>Date:</w:t>
            </w:r>
          </w:p>
        </w:tc>
        <w:tc>
          <w:tcPr>
            <w:tcW w:w="2127" w:type="dxa"/>
            <w:tcBorders>
              <w:right w:val="single" w:color="auto" w:sz="4" w:space="0"/>
            </w:tcBorders>
            <w:shd w:val="pct30" w:color="FFFF00" w:fill="auto"/>
          </w:tcPr>
          <w:p>
            <w:pPr>
              <w:pStyle w:val="68"/>
              <w:spacing w:after="0"/>
              <w:ind w:left="100"/>
            </w:pPr>
            <w:r>
              <w:t>2023-10-19</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1986" w:type="dxa"/>
            <w:gridSpan w:val="4"/>
          </w:tcPr>
          <w:p>
            <w:pPr>
              <w:pStyle w:val="68"/>
              <w:spacing w:after="0"/>
              <w:rPr>
                <w:sz w:val="8"/>
                <w:szCs w:val="8"/>
              </w:rPr>
            </w:pPr>
          </w:p>
        </w:tc>
        <w:tc>
          <w:tcPr>
            <w:tcW w:w="2267" w:type="dxa"/>
            <w:gridSpan w:val="2"/>
          </w:tcPr>
          <w:p>
            <w:pPr>
              <w:pStyle w:val="68"/>
              <w:spacing w:after="0"/>
              <w:rPr>
                <w:sz w:val="8"/>
                <w:szCs w:val="8"/>
              </w:rPr>
            </w:pPr>
          </w:p>
        </w:tc>
        <w:tc>
          <w:tcPr>
            <w:tcW w:w="1417" w:type="dxa"/>
            <w:gridSpan w:val="3"/>
          </w:tcPr>
          <w:p>
            <w:pPr>
              <w:pStyle w:val="68"/>
              <w:spacing w:after="0"/>
              <w:rPr>
                <w:sz w:val="8"/>
                <w:szCs w:val="8"/>
              </w:rPr>
            </w:pPr>
          </w:p>
        </w:tc>
        <w:tc>
          <w:tcPr>
            <w:tcW w:w="2127" w:type="dxa"/>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8"/>
              <w:tabs>
                <w:tab w:val="right" w:pos="1759"/>
              </w:tabs>
              <w:spacing w:after="0"/>
              <w:rPr>
                <w:b/>
                <w:i/>
              </w:rPr>
            </w:pPr>
            <w:r>
              <w:rPr>
                <w:b/>
                <w:i/>
              </w:rPr>
              <w:t>Category:</w:t>
            </w:r>
          </w:p>
        </w:tc>
        <w:tc>
          <w:tcPr>
            <w:tcW w:w="851" w:type="dxa"/>
            <w:shd w:val="pct30" w:color="FFFF00" w:fill="auto"/>
          </w:tcPr>
          <w:p>
            <w:pPr>
              <w:pStyle w:val="68"/>
              <w:spacing w:after="0"/>
              <w:ind w:left="100" w:right="-609"/>
              <w:rPr>
                <w:b/>
              </w:rPr>
            </w:pPr>
            <w:r>
              <w:rPr>
                <w:b/>
                <w:bCs/>
              </w:rPr>
              <w:t>B</w:t>
            </w:r>
          </w:p>
        </w:tc>
        <w:tc>
          <w:tcPr>
            <w:tcW w:w="3402" w:type="dxa"/>
            <w:gridSpan w:val="5"/>
            <w:tcBorders>
              <w:left w:val="nil"/>
            </w:tcBorders>
          </w:tcPr>
          <w:p>
            <w:pPr>
              <w:pStyle w:val="68"/>
              <w:spacing w:after="0"/>
            </w:pPr>
          </w:p>
        </w:tc>
        <w:tc>
          <w:tcPr>
            <w:tcW w:w="1417" w:type="dxa"/>
            <w:gridSpan w:val="3"/>
            <w:tcBorders>
              <w:left w:val="nil"/>
            </w:tcBorders>
          </w:tcPr>
          <w:p>
            <w:pPr>
              <w:pStyle w:val="68"/>
              <w:spacing w:after="0"/>
              <w:jc w:val="right"/>
              <w:rPr>
                <w:b/>
                <w:i/>
              </w:rPr>
            </w:pPr>
            <w:r>
              <w:rPr>
                <w:b/>
                <w:i/>
              </w:rPr>
              <w:t>Release:</w:t>
            </w:r>
          </w:p>
        </w:tc>
        <w:tc>
          <w:tcPr>
            <w:tcW w:w="2127" w:type="dxa"/>
            <w:tcBorders>
              <w:right w:val="single" w:color="auto" w:sz="4" w:space="0"/>
            </w:tcBorders>
            <w:shd w:val="pct30" w:color="FFFF00" w:fill="auto"/>
          </w:tcPr>
          <w:p>
            <w:pPr>
              <w:pStyle w:val="6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8"/>
              <w:spacing w:after="0"/>
              <w:rPr>
                <w:b/>
                <w:i/>
              </w:rPr>
            </w:pPr>
          </w:p>
        </w:tc>
        <w:tc>
          <w:tcPr>
            <w:tcW w:w="4677" w:type="dxa"/>
            <w:gridSpan w:val="8"/>
            <w:tcBorders>
              <w:bottom w:val="single" w:color="auto" w:sz="4" w:space="0"/>
            </w:tcBorders>
          </w:tcPr>
          <w:p>
            <w:pPr>
              <w:pStyle w:val="6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6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2"/>
                <w:sz w:val="18"/>
              </w:rPr>
              <w:t>TR 21.900</w:t>
            </w:r>
            <w:r>
              <w:rPr>
                <w:rStyle w:val="32"/>
                <w:sz w:val="18"/>
              </w:rPr>
              <w:fldChar w:fldCharType="end"/>
            </w:r>
            <w:r>
              <w:rPr>
                <w:sz w:val="18"/>
              </w:rPr>
              <w:t>.</w:t>
            </w:r>
          </w:p>
        </w:tc>
        <w:tc>
          <w:tcPr>
            <w:tcW w:w="3120" w:type="dxa"/>
            <w:gridSpan w:val="2"/>
            <w:tcBorders>
              <w:bottom w:val="single" w:color="auto" w:sz="4" w:space="0"/>
              <w:right w:val="single" w:color="auto" w:sz="4" w:space="0"/>
            </w:tcBorders>
          </w:tcPr>
          <w:p>
            <w:pPr>
              <w:pStyle w:val="6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8"/>
              <w:spacing w:after="0"/>
              <w:rPr>
                <w:b/>
                <w:i/>
                <w:sz w:val="8"/>
                <w:szCs w:val="8"/>
              </w:rPr>
            </w:pPr>
          </w:p>
        </w:tc>
        <w:tc>
          <w:tcPr>
            <w:tcW w:w="7797" w:type="dxa"/>
            <w:gridSpan w:val="10"/>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8"/>
              <w:spacing w:after="0"/>
              <w:ind w:left="100"/>
            </w:pPr>
            <w:r>
              <w:t>Introduces INACTIVE/IDLE QoE, new service types, RAN visible QoE measurements and reporting in NR-DC.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8"/>
              <w:spacing w:after="0"/>
              <w:ind w:left="100"/>
            </w:pPr>
            <w:r>
              <w:t>Merge TP for NR QoE agreed in RAN3#121 meeting to 38.300.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8"/>
              <w:spacing w:after="0"/>
              <w:ind w:left="100"/>
            </w:pPr>
            <w:r>
              <w:t>Enhancements for INACTIVE/IDLE QoE, new service types, and high mobility scenario, RAN visible QoE measurements and reporting in NR-DC are not supported.</w:t>
            </w:r>
          </w:p>
        </w:tc>
      </w:tr>
      <w:tr>
        <w:tblPrEx>
          <w:tblCellMar>
            <w:top w:w="0" w:type="dxa"/>
            <w:left w:w="42" w:type="dxa"/>
            <w:bottom w:w="0" w:type="dxa"/>
            <w:right w:w="42" w:type="dxa"/>
          </w:tblCellMar>
        </w:tblPrEx>
        <w:tc>
          <w:tcPr>
            <w:tcW w:w="2694" w:type="dxa"/>
            <w:gridSpan w:val="2"/>
          </w:tcPr>
          <w:p>
            <w:pPr>
              <w:pStyle w:val="68"/>
              <w:spacing w:after="0"/>
              <w:rPr>
                <w:b/>
                <w:i/>
                <w:sz w:val="8"/>
                <w:szCs w:val="8"/>
              </w:rPr>
            </w:pPr>
          </w:p>
        </w:tc>
        <w:tc>
          <w:tcPr>
            <w:tcW w:w="6946" w:type="dxa"/>
            <w:gridSpan w:val="9"/>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8"/>
              <w:spacing w:after="0"/>
              <w:jc w:val="center"/>
              <w:rPr>
                <w:b/>
                <w:caps/>
              </w:rPr>
            </w:pPr>
            <w:r>
              <w:rPr>
                <w:b/>
                <w:caps/>
              </w:rPr>
              <w:t>N</w:t>
            </w:r>
          </w:p>
        </w:tc>
        <w:tc>
          <w:tcPr>
            <w:tcW w:w="2977" w:type="dxa"/>
            <w:gridSpan w:val="4"/>
          </w:tcPr>
          <w:p>
            <w:pPr>
              <w:pStyle w:val="68"/>
              <w:tabs>
                <w:tab w:val="right" w:pos="2893"/>
              </w:tabs>
              <w:spacing w:after="0"/>
            </w:pPr>
          </w:p>
        </w:tc>
        <w:tc>
          <w:tcPr>
            <w:tcW w:w="3401" w:type="dxa"/>
            <w:gridSpan w:val="3"/>
            <w:tcBorders>
              <w:right w:val="single" w:color="auto" w:sz="4" w:space="0"/>
            </w:tcBorders>
            <w:shd w:val="clear"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Test specifications</w:t>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O&amp;M Specifications</w:t>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p>
        </w:tc>
        <w:tc>
          <w:tcPr>
            <w:tcW w:w="6946" w:type="dxa"/>
            <w:gridSpan w:val="9"/>
            <w:tcBorders>
              <w:right w:val="single" w:color="auto" w:sz="4" w:space="0"/>
            </w:tcBorders>
          </w:tcPr>
          <w:p>
            <w:pPr>
              <w:pStyle w:val="6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8"/>
              <w:spacing w:after="0"/>
              <w:ind w:left="100"/>
            </w:pPr>
            <w:r>
              <w:t>Rev 0: R3-231055</w:t>
            </w:r>
          </w:p>
          <w:p>
            <w:pPr>
              <w:pStyle w:val="68"/>
              <w:spacing w:after="0"/>
              <w:ind w:left="100"/>
            </w:pPr>
            <w:r>
              <w:t>- Merge TP in R3-231029.</w:t>
            </w:r>
          </w:p>
          <w:p>
            <w:pPr>
              <w:pStyle w:val="68"/>
              <w:spacing w:after="0"/>
              <w:ind w:left="100"/>
            </w:pPr>
            <w:r>
              <w:t>Rev 1: R3-231945</w:t>
            </w:r>
          </w:p>
          <w:p>
            <w:pPr>
              <w:pStyle w:val="68"/>
              <w:spacing w:after="0"/>
              <w:ind w:left="100"/>
            </w:pPr>
            <w:r>
              <w:t>- Submit in RAN3-119bis meeting, was R3-231055</w:t>
            </w:r>
          </w:p>
          <w:p>
            <w:pPr>
              <w:pStyle w:val="68"/>
              <w:spacing w:after="0"/>
              <w:ind w:left="100"/>
            </w:pPr>
            <w:r>
              <w:t>Rev 2: R3-232542</w:t>
            </w:r>
          </w:p>
          <w:p>
            <w:pPr>
              <w:pStyle w:val="68"/>
              <w:spacing w:after="0"/>
              <w:ind w:left="100"/>
            </w:pPr>
            <w:r>
              <w:t>- Merge TP in R3-232160.</w:t>
            </w:r>
          </w:p>
          <w:p>
            <w:pPr>
              <w:pStyle w:val="68"/>
              <w:spacing w:after="0"/>
              <w:ind w:left="100"/>
            </w:pPr>
            <w:r>
              <w:t>Rev 3: R3-233564</w:t>
            </w:r>
          </w:p>
          <w:p>
            <w:pPr>
              <w:pStyle w:val="68"/>
              <w:spacing w:after="0"/>
              <w:ind w:left="100"/>
            </w:pPr>
            <w:r>
              <w:t>- Merge TP in R3-233508.</w:t>
            </w:r>
          </w:p>
          <w:p>
            <w:pPr>
              <w:pStyle w:val="68"/>
              <w:spacing w:after="0"/>
              <w:ind w:left="100"/>
            </w:pPr>
            <w:r>
              <w:t>Rev 4: R3-233785</w:t>
            </w:r>
          </w:p>
          <w:p>
            <w:pPr>
              <w:pStyle w:val="68"/>
              <w:spacing w:after="0"/>
              <w:ind w:left="100"/>
            </w:pPr>
            <w:r>
              <w:t>- Submit in RAN3-121 meeting, was R3-233564</w:t>
            </w:r>
          </w:p>
          <w:p>
            <w:pPr>
              <w:pStyle w:val="68"/>
              <w:spacing w:after="0"/>
              <w:ind w:left="100"/>
            </w:pPr>
            <w:r>
              <w:t>Rev 5: R3-234623</w:t>
            </w:r>
          </w:p>
          <w:p>
            <w:pPr>
              <w:pStyle w:val="68"/>
              <w:spacing w:after="0"/>
              <w:ind w:left="100"/>
            </w:pPr>
            <w:r>
              <w:t>- Update title as: (BLCR to 38.300) Introduction of R18 QoE measurement</w:t>
            </w:r>
          </w:p>
          <w:p>
            <w:pPr>
              <w:pStyle w:val="68"/>
              <w:spacing w:after="0"/>
              <w:ind w:left="100"/>
            </w:pPr>
            <w:r>
              <w:t>Rev 6: R3-234810</w:t>
            </w:r>
          </w:p>
          <w:p>
            <w:pPr>
              <w:pStyle w:val="68"/>
              <w:spacing w:after="0"/>
              <w:ind w:left="100"/>
            </w:pPr>
            <w:r>
              <w:t>- Merge TP in R3-234749.</w:t>
            </w:r>
          </w:p>
          <w:p>
            <w:pPr>
              <w:pStyle w:val="68"/>
              <w:spacing w:after="0"/>
              <w:ind w:left="100"/>
            </w:pPr>
            <w:r>
              <w:t>Rev 7: R3-235100</w:t>
            </w:r>
          </w:p>
          <w:p>
            <w:pPr>
              <w:pStyle w:val="68"/>
              <w:spacing w:after="0"/>
              <w:ind w:left="100"/>
              <w:rPr>
                <w:ins w:id="0" w:author="R3-235909" w:date="2023-10-19T08:31:00Z"/>
              </w:rPr>
            </w:pPr>
            <w:r>
              <w:t>- Submit in RAN3-121bis meeting, was R3-234810</w:t>
            </w:r>
          </w:p>
          <w:p>
            <w:pPr>
              <w:pStyle w:val="68"/>
              <w:spacing w:after="0"/>
              <w:ind w:left="100"/>
              <w:rPr>
                <w:ins w:id="1" w:author="R3-235909" w:date="2023-10-19T08:32:00Z"/>
              </w:rPr>
            </w:pPr>
            <w:ins w:id="2" w:author="R3-235909" w:date="2023-10-19T08:32:00Z">
              <w:r>
                <w:rPr/>
                <w:t>Rev 8: R3-23599</w:t>
              </w:r>
            </w:ins>
            <w:ins w:id="3" w:author="R3-235909" w:date="2023-10-19T08:33:00Z">
              <w:r>
                <w:rPr/>
                <w:t>0</w:t>
              </w:r>
            </w:ins>
          </w:p>
          <w:p>
            <w:pPr>
              <w:pStyle w:val="68"/>
              <w:spacing w:after="0"/>
              <w:ind w:left="100"/>
            </w:pPr>
            <w:ins w:id="4" w:author="R3-235909" w:date="2023-10-19T08:32:00Z">
              <w:r>
                <w:rPr/>
                <w:t xml:space="preserve"> - Merge TP in R3-235909</w:t>
              </w:r>
            </w:ins>
          </w:p>
        </w:tc>
      </w:tr>
    </w:tbl>
    <w:p>
      <w:pPr>
        <w:pStyle w:val="68"/>
        <w:spacing w:after="0"/>
        <w:rPr>
          <w:sz w:val="8"/>
          <w:szCs w:val="8"/>
        </w:rPr>
      </w:pPr>
    </w:p>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bookmarkStart w:id="2" w:name="_Toc367182965"/>
      <w:r>
        <w:rPr>
          <w:rFonts w:hint="eastAsia" w:eastAsia="宋体"/>
          <w:i/>
          <w:lang w:val="en-US" w:eastAsia="zh-CN"/>
        </w:rPr>
        <w:t>Changes Start</w:t>
      </w:r>
    </w:p>
    <w:p>
      <w:pPr>
        <w:pStyle w:val="3"/>
      </w:pPr>
      <w:bookmarkStart w:id="3" w:name="_Toc20387886"/>
      <w:bookmarkStart w:id="4" w:name="_Toc139017936"/>
      <w:bookmarkStart w:id="5" w:name="_Toc46501875"/>
      <w:bookmarkStart w:id="6" w:name="_Toc51971223"/>
      <w:bookmarkStart w:id="7" w:name="_Toc29375965"/>
      <w:bookmarkStart w:id="8" w:name="_Toc37231822"/>
      <w:bookmarkStart w:id="9" w:name="_Toc52551206"/>
      <w:r>
        <w:t>3.1</w:t>
      </w:r>
      <w:r>
        <w:tab/>
      </w:r>
      <w:r>
        <w:t>Abbreviations</w:t>
      </w:r>
      <w:bookmarkEnd w:id="3"/>
      <w:bookmarkEnd w:id="4"/>
      <w:bookmarkEnd w:id="5"/>
      <w:bookmarkEnd w:id="6"/>
      <w:bookmarkEnd w:id="7"/>
      <w:bookmarkEnd w:id="8"/>
      <w:bookmarkEnd w:id="9"/>
    </w:p>
    <w:p>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pPr>
        <w:pStyle w:val="48"/>
      </w:pPr>
      <w:r>
        <w:t>5GC</w:t>
      </w:r>
      <w:r>
        <w:tab/>
      </w:r>
      <w:r>
        <w:t>5G Core Network</w:t>
      </w: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bookmarkEnd w:id="2"/>
    <w:p>
      <w:pPr>
        <w:pStyle w:val="48"/>
      </w:pPr>
      <w:r>
        <w:t>QMC</w:t>
      </w:r>
      <w:r>
        <w:tab/>
      </w:r>
      <w:r>
        <w:t>QoE Measurement Collection</w:t>
      </w:r>
    </w:p>
    <w:p>
      <w:pPr>
        <w:pStyle w:val="48"/>
      </w:pPr>
      <w:r>
        <w:t>QoE</w:t>
      </w:r>
      <w:r>
        <w:tab/>
      </w:r>
      <w:r>
        <w:t>Quality of Experience</w:t>
      </w:r>
    </w:p>
    <w:p>
      <w:pPr>
        <w:pStyle w:val="48"/>
      </w:pPr>
      <w:r>
        <w:t>QPSK</w:t>
      </w:r>
      <w:r>
        <w:tab/>
      </w:r>
      <w:r>
        <w:t>Quadrature Phase Shift Keying</w:t>
      </w:r>
    </w:p>
    <w:p>
      <w:pPr>
        <w:pStyle w:val="48"/>
      </w:pPr>
      <w:r>
        <w:t>RA</w:t>
      </w:r>
      <w:r>
        <w:tab/>
      </w:r>
      <w:r>
        <w:t>Random Access</w:t>
      </w:r>
    </w:p>
    <w:p>
      <w:pPr>
        <w:pStyle w:val="48"/>
      </w:pPr>
      <w:r>
        <w:t>RA-RNTI</w:t>
      </w:r>
      <w:r>
        <w:tab/>
      </w:r>
      <w:r>
        <w:t>Random Access RNTI</w:t>
      </w:r>
    </w:p>
    <w:p>
      <w:pPr>
        <w:pStyle w:val="48"/>
      </w:pPr>
      <w:r>
        <w:t>RACH</w:t>
      </w:r>
      <w:r>
        <w:tab/>
      </w:r>
      <w:r>
        <w:t>Random Access Channel</w:t>
      </w:r>
    </w:p>
    <w:p>
      <w:pPr>
        <w:pStyle w:val="48"/>
      </w:pPr>
      <w:r>
        <w:t>RANAC</w:t>
      </w:r>
      <w:r>
        <w:tab/>
      </w:r>
      <w:r>
        <w:t>RAN-based Notification Area Code</w:t>
      </w:r>
    </w:p>
    <w:p>
      <w:pPr>
        <w:pStyle w:val="48"/>
      </w:pPr>
      <w:r>
        <w:t>REG</w:t>
      </w:r>
      <w:r>
        <w:tab/>
      </w:r>
      <w:r>
        <w:t>Resource Element Group</w:t>
      </w:r>
    </w:p>
    <w:p>
      <w:pPr>
        <w:pStyle w:val="48"/>
      </w:pPr>
      <w:r>
        <w:t>RIM</w:t>
      </w:r>
      <w:r>
        <w:tab/>
      </w:r>
      <w:r>
        <w:t>Remote Interference Management</w:t>
      </w:r>
    </w:p>
    <w:p>
      <w:pPr>
        <w:pStyle w:val="48"/>
      </w:pPr>
      <w:r>
        <w:t>RLM</w:t>
      </w:r>
      <w:r>
        <w:tab/>
      </w:r>
      <w:r>
        <w:t>Radio Link Monitoring</w:t>
      </w:r>
    </w:p>
    <w:p>
      <w:pPr>
        <w:pStyle w:val="48"/>
      </w:pPr>
      <w:r>
        <w:t>RMSI</w:t>
      </w:r>
      <w:r>
        <w:tab/>
      </w:r>
      <w:r>
        <w:t>Remaining Minimum SI</w:t>
      </w:r>
    </w:p>
    <w:p>
      <w:pPr>
        <w:pStyle w:val="48"/>
      </w:pPr>
      <w:r>
        <w:t>RNA</w:t>
      </w:r>
      <w:r>
        <w:tab/>
      </w:r>
      <w:r>
        <w:t>RAN-based Notification Area</w:t>
      </w:r>
    </w:p>
    <w:p>
      <w:pPr>
        <w:pStyle w:val="48"/>
      </w:pPr>
      <w:r>
        <w:t>RNAU</w:t>
      </w:r>
      <w:r>
        <w:tab/>
      </w:r>
      <w:r>
        <w:t>RAN-based Notification Area Update</w:t>
      </w:r>
    </w:p>
    <w:p>
      <w:pPr>
        <w:pStyle w:val="48"/>
      </w:pPr>
      <w:r>
        <w:t>RNTI</w:t>
      </w:r>
      <w:r>
        <w:tab/>
      </w:r>
      <w:r>
        <w:t>Radio Network Temporary Identifier</w:t>
      </w:r>
    </w:p>
    <w:p>
      <w:pPr>
        <w:pStyle w:val="48"/>
      </w:pPr>
      <w:r>
        <w:t>RQA</w:t>
      </w:r>
      <w:r>
        <w:tab/>
      </w:r>
      <w:r>
        <w:t>Reflective QoS Attribute</w:t>
      </w:r>
    </w:p>
    <w:p>
      <w:pPr>
        <w:pStyle w:val="48"/>
      </w:pPr>
      <w:r>
        <w:t>RQoS</w:t>
      </w:r>
      <w:r>
        <w:tab/>
      </w:r>
      <w:r>
        <w:t>Reflective Quality of Service</w:t>
      </w:r>
    </w:p>
    <w:p>
      <w:pPr>
        <w:pStyle w:val="48"/>
      </w:pPr>
      <w:r>
        <w:t>RS</w:t>
      </w:r>
      <w:r>
        <w:tab/>
      </w:r>
      <w:r>
        <w:t>Reference Signal</w:t>
      </w:r>
    </w:p>
    <w:p>
      <w:pPr>
        <w:pStyle w:val="48"/>
      </w:pPr>
      <w:r>
        <w:t>RSRP</w:t>
      </w:r>
      <w:r>
        <w:tab/>
      </w:r>
      <w:r>
        <w:t>Reference Signal Received Power</w:t>
      </w:r>
    </w:p>
    <w:p>
      <w:pPr>
        <w:pStyle w:val="48"/>
      </w:pPr>
      <w:r>
        <w:t>RSRQ</w:t>
      </w:r>
      <w:r>
        <w:tab/>
      </w:r>
      <w:r>
        <w:t>Reference Signal Received Quality</w:t>
      </w:r>
    </w:p>
    <w:p>
      <w:pPr>
        <w:pStyle w:val="48"/>
      </w:pPr>
      <w:r>
        <w:t>RSSI</w:t>
      </w:r>
      <w:r>
        <w:tab/>
      </w:r>
      <w:r>
        <w:t>Received Signal Strength Indicator</w:t>
      </w:r>
    </w:p>
    <w:p>
      <w:pPr>
        <w:pStyle w:val="48"/>
      </w:pPr>
      <w:r>
        <w:t>RSTD</w:t>
      </w:r>
      <w:r>
        <w:tab/>
      </w:r>
      <w:r>
        <w:t>Reference Signal Time Difference</w:t>
      </w:r>
    </w:p>
    <w:p>
      <w:pPr>
        <w:pStyle w:val="48"/>
        <w:rPr>
          <w:ins w:id="5" w:author="Author" w:date="2023-10-26T09:29:55Z"/>
        </w:rPr>
      </w:pPr>
      <w:r>
        <w:t>RTT</w:t>
      </w:r>
      <w:r>
        <w:tab/>
      </w:r>
      <w:r>
        <w:t>Round Trip Time</w:t>
      </w:r>
    </w:p>
    <w:p>
      <w:pPr>
        <w:pStyle w:val="48"/>
      </w:pPr>
      <w:ins w:id="6" w:author="Author" w:date="2023-10-26T09:29:55Z">
        <w:r>
          <w:rPr/>
          <w:t>RVQoE</w:t>
        </w:r>
      </w:ins>
      <w:ins w:id="7" w:author="Author" w:date="2023-10-26T09:29:55Z">
        <w:r>
          <w:rPr/>
          <w:tab/>
        </w:r>
      </w:ins>
      <w:ins w:id="8" w:author="Author" w:date="2023-10-26T09:29:55Z">
        <w:r>
          <w:rPr/>
          <w:t>RAN visible QoE</w:t>
        </w:r>
      </w:ins>
    </w:p>
    <w:p>
      <w:pPr>
        <w:pStyle w:val="48"/>
      </w:pPr>
      <w:r>
        <w:t>SCS</w:t>
      </w:r>
      <w:r>
        <w:tab/>
      </w:r>
      <w:r>
        <w:t>SubCarrier Spacing</w:t>
      </w: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3"/>
      </w:pPr>
      <w:bookmarkStart w:id="10" w:name="_Toc139018345"/>
      <w:bookmarkStart w:id="11" w:name="_Toc76505088"/>
      <w:r>
        <w:t>21.1</w:t>
      </w:r>
      <w:r>
        <w:tab/>
      </w:r>
      <w:r>
        <w:t>Overview</w:t>
      </w:r>
      <w:bookmarkEnd w:id="10"/>
      <w:bookmarkEnd w:id="11"/>
    </w:p>
    <w:p>
      <w:r>
        <w:t>The QoE Measurement Collection function enables collection of application layer measurements from the UE. The supported service types are:</w:t>
      </w:r>
    </w:p>
    <w:p>
      <w:pPr>
        <w:pStyle w:val="62"/>
      </w:pPr>
      <w:r>
        <w:t>-</w:t>
      </w:r>
      <w:r>
        <w:tab/>
      </w:r>
      <w:r>
        <w:t>QoE Measurement Collection for DASH streaming services;</w:t>
      </w:r>
    </w:p>
    <w:p>
      <w:pPr>
        <w:pStyle w:val="62"/>
      </w:pPr>
      <w:r>
        <w:t>-</w:t>
      </w:r>
      <w:r>
        <w:tab/>
      </w:r>
      <w:r>
        <w:t>QoE Measurement Collection for MTSI services;</w:t>
      </w:r>
    </w:p>
    <w:p>
      <w:pPr>
        <w:pStyle w:val="62"/>
      </w:pPr>
      <w:r>
        <w:t>-</w:t>
      </w:r>
      <w:r>
        <w:tab/>
      </w:r>
      <w:r>
        <w:t>QoE Measurement Collection for VR services.</w:t>
      </w:r>
    </w:p>
    <w:p>
      <w:pPr>
        <w:pStyle w:val="62"/>
        <w:ind w:left="0" w:firstLine="0"/>
        <w:rPr>
          <w:ins w:id="9" w:author="Author" w:date="2023-10-26T09:30:29Z"/>
        </w:rPr>
      </w:pPr>
      <w:ins w:id="10" w:author="Author" w:date="2023-10-26T09:30:14Z">
        <w:r>
          <w:rPr/>
          <w:t>For DASH, MTSI, CR, t</w:t>
        </w:r>
      </w:ins>
      <w:del w:id="11" w:author="Author" w:date="2023-10-26T09:30:14Z">
        <w:r>
          <w:rPr/>
          <w:delText>T</w:delText>
        </w:r>
      </w:del>
      <w:r>
        <w:t xml:space="preserve">he QoE measurement collection is supported in RRC_CONNECTED state only. </w:t>
      </w:r>
      <w:ins w:id="12" w:author="Author" w:date="2023-10-26T09:30:29Z">
        <w:r>
          <w:rPr/>
          <w:t>unless the application data is delivered via MBS broadcast communication service.</w:t>
        </w:r>
      </w:ins>
    </w:p>
    <w:p>
      <w:pPr>
        <w:rPr>
          <w:ins w:id="13" w:author="Author" w:date="2023-10-26T09:30:29Z"/>
        </w:rPr>
      </w:pPr>
      <w:ins w:id="14" w:author="Author" w:date="2023-10-26T09:30:29Z">
        <w:r>
          <w:rPr/>
          <w:t>The QoE Measurement Collection function supports collection of QoE measurements for MBS communication service. The measurement collection is supported for the following two communication service types:</w:t>
        </w:r>
      </w:ins>
    </w:p>
    <w:p>
      <w:pPr>
        <w:pStyle w:val="62"/>
        <w:rPr>
          <w:ins w:id="15" w:author="Author" w:date="2023-10-26T09:30:29Z"/>
        </w:rPr>
      </w:pPr>
      <w:ins w:id="16" w:author="Author" w:date="2023-10-26T09:30:29Z">
        <w:r>
          <w:rPr/>
          <w:t>-</w:t>
        </w:r>
      </w:ins>
      <w:ins w:id="17" w:author="Author" w:date="2023-10-26T09:30:29Z">
        <w:r>
          <w:rPr/>
          <w:tab/>
        </w:r>
      </w:ins>
      <w:ins w:id="18" w:author="Author" w:date="2023-10-26T09:30:29Z">
        <w:r>
          <w:rPr/>
          <w:t>MBS broadcast;</w:t>
        </w:r>
      </w:ins>
    </w:p>
    <w:p>
      <w:pPr>
        <w:pStyle w:val="62"/>
        <w:rPr>
          <w:ins w:id="19" w:author="Author" w:date="2023-10-26T09:30:29Z"/>
        </w:rPr>
      </w:pPr>
      <w:ins w:id="20" w:author="Author" w:date="2023-10-26T09:30:29Z">
        <w:r>
          <w:rPr/>
          <w:t>-</w:t>
        </w:r>
      </w:ins>
      <w:ins w:id="21" w:author="Author" w:date="2023-10-26T09:30:29Z">
        <w:r>
          <w:rPr/>
          <w:tab/>
        </w:r>
      </w:ins>
      <w:ins w:id="22" w:author="Author" w:date="2023-10-26T09:30:29Z">
        <w:r>
          <w:rPr/>
          <w:t>MBS multicast.</w:t>
        </w:r>
      </w:ins>
    </w:p>
    <w:p>
      <w:pPr>
        <w:pStyle w:val="61"/>
        <w:rPr>
          <w:ins w:id="23" w:author="Author" w:date="2023-10-26T09:30:29Z"/>
        </w:rPr>
      </w:pPr>
      <w:ins w:id="24" w:author="Author" w:date="2023-10-26T09:30:29Z">
        <w:r>
          <w:rPr/>
          <w:t>Editor’s Note: FFS on MBS communication service types for unicast.</w:t>
        </w:r>
      </w:ins>
    </w:p>
    <w:p>
      <w:pPr>
        <w:pStyle w:val="62"/>
        <w:ind w:left="0" w:firstLine="0"/>
        <w:rPr>
          <w:ins w:id="25" w:author="Author" w:date="2023-10-26T09:30:38Z"/>
        </w:rPr>
      </w:pPr>
      <w:ins w:id="26" w:author="Author" w:date="2023-10-26T09:30:29Z">
        <w:r>
          <w:rPr/>
          <w:t>QoE measurement collection for application sessions delivered via MBS broadcast are supported in RRC_CONNECTED, RRC_INACTIVE, and RRC_IDLE states. QoE measurement collection for the application sessions delivered via MBS multicast are supported in RRC_CONNECTED state only.</w:t>
        </w:r>
      </w:ins>
      <w:r>
        <w:t>Both signalling based and management based QoE measurement collection are supported.</w:t>
      </w:r>
    </w:p>
    <w:p>
      <w:pPr>
        <w:pStyle w:val="62"/>
        <w:ind w:left="0" w:firstLine="0"/>
        <w:rPr>
          <w:ins w:id="27" w:author="Author" w:date="2023-10-26T09:30:38Z"/>
        </w:rPr>
      </w:pPr>
      <w:ins w:id="28" w:author="Author" w:date="2023-10-26T09:30:38Z">
        <w:r>
          <w:rPr/>
          <w:t>Description of further QMC functionality during NR-DC operation can be found in TS 37.340 [21].</w:t>
        </w:r>
      </w:ins>
    </w:p>
    <w:p>
      <w:pPr>
        <w:pStyle w:val="62"/>
        <w:ind w:left="0" w:firstLine="0"/>
        <w:rPr>
          <w:del w:id="29" w:author="Author" w:date="2023-10-26T09:30:39Z"/>
        </w:rPr>
      </w:pPr>
    </w:p>
    <w:p>
      <w:pPr>
        <w:pStyle w:val="43"/>
      </w:pPr>
      <w:r>
        <w:t>NOTE:</w:t>
      </w:r>
      <w:r>
        <w:tab/>
      </w:r>
      <w:r>
        <w:t>The naming QoE Measurement is used in NG, Xn, and interfaces between the OAM and the gNB. In the Uu interface, the naming application layer measurement is used and it is equal to QoE Measurement.</w:t>
      </w:r>
    </w:p>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4"/>
      </w:pPr>
      <w:bookmarkStart w:id="12" w:name="_Toc139018347"/>
      <w:r>
        <w:t>21.2.1</w:t>
      </w:r>
      <w:r>
        <w:tab/>
      </w:r>
      <w:r>
        <w:t>QoE Measurement Collection Activation and Reporting</w:t>
      </w:r>
      <w:bookmarkEnd w:id="12"/>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ja-JP"/>
        </w:rPr>
        <w:t xml:space="preserve">The feature is activated in the </w:t>
      </w:r>
      <w:r>
        <w:rPr>
          <w:rFonts w:ascii="Times New Roman" w:hAnsi="Times New Roman" w:eastAsia="Times New Roman" w:cs="Times New Roman"/>
          <w:lang w:eastAsia="zh-CN"/>
        </w:rPr>
        <w:t>gNB</w:t>
      </w:r>
      <w:r>
        <w:rPr>
          <w:rFonts w:ascii="Times New Roman" w:hAnsi="Times New Roman" w:eastAsia="Times New Roman" w:cs="Times New Roman"/>
          <w:lang w:eastAsia="ja-JP"/>
        </w:rPr>
        <w:t xml:space="preserve"> either by direct configuration from the OAM system (management-based activation), or by signalling from the OAM via the 5GC (signalling</w:t>
      </w:r>
      <w:r>
        <w:rPr>
          <w:rFonts w:ascii="Times New Roman" w:hAnsi="Times New Roman" w:eastAsia="Times New Roman" w:cs="Times New Roman"/>
          <w:lang w:eastAsia="zh-CN"/>
        </w:rPr>
        <w:t>-</w:t>
      </w:r>
      <w:r>
        <w:rPr>
          <w:rFonts w:ascii="Times New Roman" w:hAnsi="Times New Roman" w:eastAsia="Times New Roman" w:cs="Times New Roman"/>
          <w:lang w:eastAsia="ja-JP"/>
        </w:rPr>
        <w:t>based activation)</w:t>
      </w:r>
      <w:r>
        <w:rPr>
          <w:rFonts w:ascii="Times New Roman" w:hAnsi="Times New Roman" w:eastAsia="Times New Roman" w:cs="Times New Roman"/>
          <w:lang w:eastAsia="zh-CN"/>
        </w:rPr>
        <w:t>, containing UE-associated QoE configuration</w:t>
      </w:r>
      <w:r>
        <w:rPr>
          <w:rFonts w:ascii="Times New Roman" w:hAnsi="Times New Roman" w:eastAsia="Times New Roman" w:cs="Times New Roman"/>
          <w:lang w:eastAsia="ja-JP"/>
        </w:rPr>
        <w:t>.</w:t>
      </w:r>
      <w:r>
        <w:rPr>
          <w:rFonts w:ascii="Times New Roman" w:hAnsi="Times New Roman" w:eastAsia="Times New Roman" w:cs="Times New Roman"/>
          <w:lang w:eastAsia="zh-CN"/>
        </w:rPr>
        <w:t xml:space="preserve"> O</w:t>
      </w:r>
      <w:r>
        <w:rPr>
          <w:rFonts w:ascii="Times New Roman" w:hAnsi="Times New Roman" w:eastAsia="Times New Roman" w:cs="Times New Roman"/>
          <w:lang w:eastAsia="ja-JP"/>
        </w:rPr>
        <w:t>ne or more QoE measurement collection jobs can be activated at a UE per service type, and each QoE measurement configuration is uniquely identified by a QoE reference.</w:t>
      </w:r>
      <w:del w:id="30" w:author="Author" w:date="2023-10-26T09:31:05Z">
        <w:r>
          <w:rPr>
            <w:rFonts w:ascii="Times New Roman" w:hAnsi="Times New Roman" w:eastAsia="Times New Roman" w:cs="Times New Roman"/>
            <w:lang w:eastAsia="ja-JP"/>
          </w:rPr>
          <w:delText xml:space="preserve"> When the UE is configured with MR-DC, only the MN can configure the QoE configuration.</w:delText>
        </w:r>
      </w:del>
    </w:p>
    <w:p>
      <w:pPr>
        <w:overflowPunct w:val="0"/>
        <w:autoSpaceDE w:val="0"/>
        <w:autoSpaceDN w:val="0"/>
        <w:adjustRightInd w:val="0"/>
        <w:textAlignment w:val="baseline"/>
        <w:rPr>
          <w:rFonts w:ascii="Times New Roman" w:hAnsi="Times New Roman" w:eastAsia="Times New Roman" w:cs="Times New Roman"/>
          <w:lang w:eastAsia="ja-JP"/>
        </w:rPr>
      </w:pPr>
      <w:bookmarkStart w:id="13" w:name="_Hlk85052292"/>
      <w:r>
        <w:rPr>
          <w:rFonts w:ascii="Times New Roman" w:hAnsi="Times New Roman" w:eastAsia="Times New Roman" w:cs="Times New Roman"/>
          <w:lang w:eastAsia="ja-JP"/>
        </w:rPr>
        <w:t xml:space="preserve">For signalling-based QoE </w:t>
      </w:r>
      <w:r>
        <w:rPr>
          <w:rFonts w:ascii="Times New Roman" w:hAnsi="Times New Roman" w:eastAsia="Times New Roman" w:cs="Times New Roman"/>
          <w:lang w:eastAsia="zh-CN"/>
        </w:rPr>
        <w:t>measurements</w:t>
      </w:r>
      <w:r>
        <w:rPr>
          <w:rFonts w:ascii="Times New Roman" w:hAnsi="Times New Roman" w:eastAsia="Times New Roman" w:cs="Times New Roman"/>
          <w:lang w:eastAsia="ja-JP"/>
        </w:rPr>
        <w:t xml:space="preserve">, the OAM initiates the QoE measurement activation for a specific UE via the 5GC, and the gNB receives </w:t>
      </w:r>
      <w:r>
        <w:rPr>
          <w:rFonts w:ascii="Times New Roman" w:hAnsi="Times New Roman" w:eastAsia="Times New Roman" w:cs="Times New Roman"/>
          <w:lang w:eastAsia="zh-CN"/>
        </w:rPr>
        <w:t xml:space="preserve">one or more </w:t>
      </w:r>
      <w:r>
        <w:rPr>
          <w:rFonts w:ascii="Times New Roman" w:hAnsi="Times New Roman" w:eastAsia="Times New Roman" w:cs="Times New Roman"/>
          <w:lang w:eastAsia="ja-JP"/>
        </w:rPr>
        <w:t>QoE measurement configurations by means of UE-associated signalling. The QoE measurement configuration for signalling</w:t>
      </w:r>
      <w:r>
        <w:rPr>
          <w:rFonts w:ascii="Times New Roman" w:hAnsi="Times New Roman" w:eastAsia="宋体" w:cs="Times New Roman"/>
          <w:lang w:eastAsia="ja-JP"/>
        </w:rPr>
        <w:t>-</w:t>
      </w:r>
      <w:r>
        <w:rPr>
          <w:rFonts w:ascii="Times New Roman" w:hAnsi="Times New Roman" w:eastAsia="Times New Roman" w:cs="Times New Roman"/>
          <w:lang w:eastAsia="ja-JP"/>
        </w:rPr>
        <w:t>based activation includes an application layer measurement configuration list and the corresponding information for QoE measurement collection</w:t>
      </w:r>
      <w:r>
        <w:rPr>
          <w:rFonts w:ascii="Times New Roman" w:hAnsi="Times New Roman" w:eastAsia="Times New Roman" w:cs="Times New Roman"/>
          <w:lang w:eastAsia="zh-CN"/>
        </w:rPr>
        <w:t>, e.g., QoE reference, service type, MCE IP address, slice scope, area scope, MDT alignment information</w:t>
      </w:r>
      <w:ins w:id="31" w:author="Author" w:date="2023-10-26T09:31:30Z">
        <w:r>
          <w:rPr>
            <w:rFonts w:hint="eastAsia" w:ascii="Times New Roman" w:hAnsi="Times New Roman" w:eastAsia="Times New Roman" w:cs="Times New Roman"/>
            <w:lang w:val="en-US" w:eastAsia="zh-CN"/>
          </w:rPr>
          <w:t>,</w:t>
        </w:r>
      </w:ins>
      <w:r>
        <w:rPr>
          <w:rFonts w:ascii="Times New Roman" w:hAnsi="Times New Roman" w:eastAsia="Times New Roman" w:cs="Times New Roman"/>
          <w:lang w:eastAsia="zh-CN"/>
        </w:rPr>
        <w:t xml:space="preserve"> </w:t>
      </w:r>
      <w:del w:id="32" w:author="Author" w:date="2023-10-26T09:31:23Z">
        <w:r>
          <w:rPr>
            <w:rFonts w:ascii="Times New Roman" w:hAnsi="Times New Roman" w:eastAsia="Times New Roman" w:cs="Times New Roman"/>
            <w:lang w:eastAsia="zh-CN"/>
          </w:rPr>
          <w:delText xml:space="preserve">and </w:delText>
        </w:r>
      </w:del>
      <w:r>
        <w:rPr>
          <w:rFonts w:ascii="Times New Roman" w:hAnsi="Times New Roman" w:eastAsia="Times New Roman" w:cs="Times New Roman"/>
          <w:lang w:eastAsia="ja-JP"/>
        </w:rPr>
        <w:t xml:space="preserve">the indication of available </w:t>
      </w:r>
      <w:r>
        <w:rPr>
          <w:rFonts w:ascii="Times New Roman" w:hAnsi="Times New Roman" w:eastAsia="Times New Roman" w:cs="Times New Roman"/>
          <w:lang w:eastAsia="zh-CN"/>
        </w:rPr>
        <w:t>RAN visible QoE metrics</w:t>
      </w:r>
      <w:ins w:id="33" w:author="Author" w:date="2023-10-26T09:31:14Z">
        <w:r>
          <w:rPr>
            <w:lang w:eastAsia="zh-CN"/>
          </w:rPr>
          <w:t xml:space="preserve"> and assistance information</w:t>
        </w:r>
      </w:ins>
      <w:ins w:id="34" w:author="Author" w:date="2023-10-26T09:31:14Z">
        <w:r>
          <w:rPr/>
          <w:t>.</w:t>
        </w:r>
      </w:ins>
      <w:r>
        <w:rPr>
          <w:rFonts w:ascii="Times New Roman" w:hAnsi="Times New Roman" w:eastAsia="Times New Roman" w:cs="Times New Roman"/>
          <w:lang w:eastAsia="ja-JP"/>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ja-JP"/>
        </w:rPr>
        <w:t xml:space="preserve">For management-based </w:t>
      </w:r>
      <w:r>
        <w:rPr>
          <w:rFonts w:ascii="Times New Roman" w:hAnsi="Times New Roman" w:eastAsia="Times New Roman" w:cs="Times New Roman"/>
          <w:lang w:eastAsia="zh-CN"/>
        </w:rPr>
        <w:t>QoE measurement</w:t>
      </w:r>
      <w:r>
        <w:rPr>
          <w:rFonts w:ascii="Times New Roman" w:hAnsi="Times New Roman" w:eastAsia="Times New Roman" w:cs="Times New Roman"/>
          <w:lang w:eastAsia="ja-JP"/>
        </w:rPr>
        <w:t xml:space="preserve"> activation, the OAM sends</w:t>
      </w:r>
      <w:r>
        <w:rPr>
          <w:rFonts w:ascii="Times New Roman" w:hAnsi="Times New Roman" w:eastAsia="Times New Roman" w:cs="Times New Roman"/>
          <w:lang w:eastAsia="zh-CN"/>
        </w:rPr>
        <w:t xml:space="preserve"> one or more</w:t>
      </w:r>
      <w:r>
        <w:rPr>
          <w:rFonts w:ascii="Times New Roman" w:hAnsi="Times New Roman" w:eastAsia="Times New Roman" w:cs="Times New Roman"/>
          <w:lang w:eastAsia="ja-JP"/>
        </w:rPr>
        <w:t xml:space="preserve"> QoE measurement configurations directly to the gNB. The QoE measurement configuration for management-based activation </w:t>
      </w:r>
      <w:r>
        <w:rPr>
          <w:rFonts w:ascii="Times New Roman" w:hAnsi="Times New Roman" w:eastAsia="Times New Roman" w:cs="Times New Roman"/>
          <w:lang w:eastAsia="zh-CN"/>
        </w:rPr>
        <w:t xml:space="preserve">also </w:t>
      </w:r>
      <w:r>
        <w:rPr>
          <w:rFonts w:ascii="Times New Roman" w:hAnsi="Times New Roman" w:eastAsia="Times New Roman" w:cs="Times New Roman"/>
          <w:lang w:eastAsia="ja-JP"/>
        </w:rPr>
        <w:t>includes an application layer measurement configuration list and the corresponding information for QoE measurement collection. The gNB selects UE(s) that meet the required QoE measurement capability, area scope and slice scope.</w:t>
      </w:r>
      <w:bookmarkEnd w:id="13"/>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Application layer measurement configuration received by the gNB from OAM or CN is encapsulated in a transparent container, which is forwarded to a UE as Application layer configuration in the</w:t>
      </w:r>
      <w:r>
        <w:rPr>
          <w:rFonts w:ascii="Times New Roman" w:hAnsi="Times New Roman" w:eastAsia="Times New Roman" w:cs="Times New Roman"/>
          <w:i/>
          <w:lang w:eastAsia="ja-JP"/>
        </w:rPr>
        <w:t xml:space="preserve"> RRCReconfiguration</w:t>
      </w:r>
      <w:r>
        <w:rPr>
          <w:rFonts w:ascii="Times New Roman" w:hAnsi="Times New Roman" w:eastAsia="Times New Roman" w:cs="Times New Roman"/>
          <w:lang w:eastAsia="ja-JP"/>
        </w:rPr>
        <w:t xml:space="preserve"> message (there can be multiple configurations in the same message). Application layer measurement</w:t>
      </w:r>
      <w:r>
        <w:rPr>
          <w:rFonts w:ascii="Times New Roman" w:hAnsi="Times New Roman" w:eastAsia="Times New Roman" w:cs="Times New Roman"/>
          <w:lang w:eastAsia="zh-CN"/>
        </w:rPr>
        <w:t xml:space="preserve"> reports</w:t>
      </w:r>
      <w:r>
        <w:rPr>
          <w:rFonts w:ascii="Times New Roman" w:hAnsi="Times New Roman" w:eastAsia="Times New Roman" w:cs="Times New Roman"/>
          <w:lang w:eastAsia="ja-JP"/>
        </w:rPr>
        <w:t xml:space="preserve"> received from UE's application layer are encapsulated in a transparent container and sent to the network in the </w:t>
      </w:r>
      <w:r>
        <w:rPr>
          <w:rFonts w:ascii="Times New Roman" w:hAnsi="Times New Roman" w:eastAsia="Times New Roman" w:cs="Times New Roman"/>
          <w:i/>
          <w:lang w:eastAsia="ja-JP"/>
        </w:rPr>
        <w:t>MeasurementReportAppLayer</w:t>
      </w:r>
      <w:r>
        <w:rPr>
          <w:rFonts w:ascii="Times New Roman" w:hAnsi="Times New Roman" w:eastAsia="Times New Roman" w:cs="Times New Roman"/>
          <w:lang w:eastAsia="ja-JP"/>
        </w:rPr>
        <w:t xml:space="preserve"> message, as specified in TS 38.331 [12]. The UE can send multiple application layer measurement reports to the gNB in one </w:t>
      </w:r>
      <w:r>
        <w:rPr>
          <w:rFonts w:ascii="Times New Roman" w:hAnsi="Times New Roman" w:eastAsia="Times New Roman" w:cs="Times New Roman"/>
          <w:i/>
          <w:lang w:eastAsia="ja-JP"/>
        </w:rPr>
        <w:t>MeasurementReportAppLayer</w:t>
      </w:r>
      <w:r>
        <w:rPr>
          <w:rFonts w:ascii="Times New Roman" w:hAnsi="Times New Roman" w:eastAsia="Times New Roman" w:cs="Times New Roman"/>
          <w:lang w:eastAsia="ja-JP"/>
        </w:rPr>
        <w:t xml:space="preserve"> message. In order to allow the transmission of application layer measurement reports which exceed the maximum PDCP SDU size, segmentation of the </w:t>
      </w:r>
      <w:r>
        <w:rPr>
          <w:rFonts w:ascii="Times New Roman" w:hAnsi="Times New Roman" w:eastAsia="Times New Roman" w:cs="Times New Roman"/>
          <w:i/>
          <w:lang w:eastAsia="ja-JP"/>
        </w:rPr>
        <w:t>MeasurementReportAppLayer</w:t>
      </w:r>
      <w:r>
        <w:rPr>
          <w:rFonts w:ascii="Times New Roman" w:hAnsi="Times New Roman" w:eastAsia="Times New Roman" w:cs="Times New Roman"/>
          <w:lang w:eastAsia="ja-JP"/>
        </w:rPr>
        <w:t xml:space="preserve"> message may be enabled by the gNB. An RRC identifier conveyed in the RRC signalling is used to identify the </w:t>
      </w:r>
      <w:r>
        <w:rPr>
          <w:rFonts w:ascii="Times New Roman" w:hAnsi="Times New Roman" w:eastAsia="Times New Roman" w:cs="Times New Roman"/>
          <w:lang w:eastAsia="zh-CN"/>
        </w:rPr>
        <w:t>a</w:t>
      </w:r>
      <w:r>
        <w:rPr>
          <w:rFonts w:ascii="Times New Roman" w:hAnsi="Times New Roman" w:eastAsia="Times New Roman" w:cs="Times New Roman"/>
          <w:lang w:eastAsia="ja-JP"/>
        </w:rPr>
        <w:t xml:space="preserve">pplication layer measurement configuration </w:t>
      </w:r>
      <w:r>
        <w:rPr>
          <w:rFonts w:ascii="Times New Roman" w:hAnsi="Times New Roman" w:eastAsia="Times New Roman" w:cs="Times New Roman"/>
          <w:lang w:eastAsia="zh-CN"/>
        </w:rPr>
        <w:t xml:space="preserve">and report </w:t>
      </w:r>
      <w:r>
        <w:rPr>
          <w:rFonts w:ascii="Times New Roman" w:hAnsi="Times New Roman" w:eastAsia="Times New Roman" w:cs="Times New Roman"/>
          <w:lang w:eastAsia="ja-JP"/>
        </w:rPr>
        <w:t>between the gNB and the UE. The RRC identifier is mapped to the QoE reference in the gNB</w:t>
      </w:r>
      <w:r>
        <w:rPr>
          <w:rFonts w:ascii="Times New Roman" w:hAnsi="Times New Roman" w:eastAsia="Times New Roman" w:cs="Times New Roman"/>
          <w:lang w:eastAsia="zh-CN"/>
        </w:rPr>
        <w:t>,</w:t>
      </w:r>
      <w:r>
        <w:rPr>
          <w:rFonts w:ascii="Times New Roman" w:hAnsi="Times New Roman" w:eastAsia="Times New Roman" w:cs="Times New Roman"/>
          <w:lang w:eastAsia="ja-JP"/>
        </w:rPr>
        <w:t xml:space="preserve"> </w:t>
      </w:r>
      <w:r>
        <w:rPr>
          <w:rFonts w:ascii="Times New Roman" w:hAnsi="Times New Roman" w:eastAsia="Times New Roman" w:cs="Times New Roman"/>
          <w:lang w:eastAsia="zh-CN"/>
        </w:rPr>
        <w:t>and the gNB forwards t</w:t>
      </w:r>
      <w:r>
        <w:rPr>
          <w:rFonts w:ascii="Times New Roman" w:hAnsi="Times New Roman" w:eastAsia="Times New Roman" w:cs="Times New Roman"/>
          <w:lang w:eastAsia="ja-JP"/>
        </w:rPr>
        <w:t xml:space="preserve">he </w:t>
      </w:r>
      <w:r>
        <w:rPr>
          <w:rFonts w:ascii="Times New Roman" w:hAnsi="Times New Roman" w:eastAsia="Times New Roman" w:cs="Times New Roman"/>
          <w:lang w:eastAsia="zh-CN"/>
        </w:rPr>
        <w:t>application</w:t>
      </w:r>
      <w:r>
        <w:rPr>
          <w:rFonts w:ascii="Times New Roman" w:hAnsi="Times New Roman" w:eastAsia="Times New Roman" w:cs="Times New Roman"/>
          <w:lang w:eastAsia="ja-JP"/>
        </w:rPr>
        <w:t xml:space="preserve"> layer measurement report to </w:t>
      </w:r>
      <w:r>
        <w:rPr>
          <w:rFonts w:ascii="Times New Roman" w:hAnsi="Times New Roman" w:eastAsia="Times New Roman" w:cs="Times New Roman"/>
          <w:lang w:eastAsia="zh-CN"/>
        </w:rPr>
        <w:t>MCE</w:t>
      </w:r>
      <w:r>
        <w:rPr>
          <w:rFonts w:ascii="Times New Roman" w:hAnsi="Times New Roman" w:eastAsia="Times New Roman" w:cs="Times New Roman"/>
          <w:lang w:eastAsia="ja-JP"/>
        </w:rPr>
        <w:t xml:space="preserve"> together with</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ja-JP"/>
        </w:rPr>
        <w:t>the QoE reference</w:t>
      </w:r>
      <w:r>
        <w:rPr>
          <w:rFonts w:ascii="Times New Roman" w:hAnsi="Times New Roman" w:eastAsia="Times New Roman" w:cs="Times New Roman"/>
          <w:lang w:eastAsia="zh-CN"/>
        </w:rPr>
        <w:t>.</w:t>
      </w:r>
      <w:r>
        <w:rPr>
          <w:rFonts w:ascii="Times New Roman" w:hAnsi="Times New Roman" w:eastAsia="Times New Roman" w:cs="Times New Roman"/>
          <w:lang w:eastAsia="ja-JP"/>
        </w:rPr>
        <w:t xml:space="preserve"> The gNB can release one or multiple application layer measurement configurations from the UE in one </w:t>
      </w:r>
      <w:r>
        <w:rPr>
          <w:rFonts w:ascii="Times New Roman" w:hAnsi="Times New Roman" w:eastAsia="Times New Roman" w:cs="Times New Roman"/>
          <w:i/>
          <w:lang w:eastAsia="ja-JP"/>
        </w:rPr>
        <w:t>RRCReconfiguration</w:t>
      </w:r>
      <w:r>
        <w:rPr>
          <w:rFonts w:ascii="Times New Roman" w:hAnsi="Times New Roman" w:eastAsia="Times New Roman" w:cs="Times New Roman"/>
          <w:lang w:eastAsia="ja-JP"/>
        </w:rPr>
        <w:t xml:space="preserve"> message at any time. The UE may additionally be configured by the gNB to report when a QoE measurement session starts or stops for a certain application layer measurement configuration.</w:t>
      </w: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4"/>
      </w:pPr>
      <w:bookmarkStart w:id="14" w:name="_Toc139018349"/>
      <w:r>
        <w:t>21.2.3</w:t>
      </w:r>
      <w:r>
        <w:tab/>
      </w:r>
      <w:r>
        <w:t>Handling of QMC during RAN Overload</w:t>
      </w:r>
      <w:bookmarkEnd w:id="14"/>
    </w:p>
    <w:p>
      <w:pPr>
        <w:overflowPunct w:val="0"/>
        <w:autoSpaceDE w:val="0"/>
        <w:autoSpaceDN w:val="0"/>
        <w:adjustRightInd w:val="0"/>
        <w:textAlignment w:val="baseline"/>
        <w:rPr>
          <w:ins w:id="35" w:author="Author" w:date="2023-10-26T09:31:49Z"/>
          <w:rFonts w:ascii="Times New Roman" w:hAnsi="Times New Roman" w:eastAsia="Times New Roman" w:cs="Times New Roman"/>
          <w:lang w:eastAsia="zh-CN"/>
        </w:rPr>
      </w:pPr>
      <w:r>
        <w:rPr>
          <w:rFonts w:ascii="Times New Roman" w:hAnsi="Times New Roman" w:eastAsia="Times New Roman" w:cs="Times New Roman"/>
          <w:lang w:eastAsia="zh-CN"/>
        </w:rPr>
        <w:t>The QoE measurement collection pause/resume procedure is used to pause/resume reporting of one or multiple QoE measurement configurations in a UE in RAN overload situation.</w:t>
      </w:r>
    </w:p>
    <w:p>
      <w:pPr>
        <w:rPr>
          <w:ins w:id="36" w:author="Author" w:date="2023-10-26T09:31:52Z"/>
          <w:lang w:eastAsia="zh-CN"/>
        </w:rPr>
      </w:pPr>
      <w:ins w:id="37" w:author="Author" w:date="2023-10-26T09:31:52Z">
        <w:r>
          <w:rPr>
            <w:lang w:eastAsia="zh-CN"/>
          </w:rPr>
          <w:t>For a QoE measurement configuration, the assistance information provided by the OAM may be considered by the gNB for deciding whether to pause/resume the measurement reporting of certain QoE measurement configurations in case of RAN overload.</w:t>
        </w:r>
      </w:ins>
    </w:p>
    <w:p>
      <w:pPr>
        <w:pStyle w:val="61"/>
        <w:rPr>
          <w:ins w:id="38" w:author="Author" w:date="2023-10-26T09:31:52Z"/>
          <w:lang w:eastAsia="zh-CN"/>
        </w:rPr>
      </w:pPr>
      <w:ins w:id="39" w:author="Author" w:date="2023-10-26T09:31:52Z">
        <w:r>
          <w:rPr>
            <w:lang w:eastAsia="zh-CN"/>
          </w:rPr>
          <w:t>Editor’s Note: Whether the assistance information for QoE Measurement Collection will be used by UE to decide which QoE reports to discard in case the UE’s buffer becomes full depends on RAN2 decision.</w:t>
        </w:r>
      </w:ins>
    </w:p>
    <w:p>
      <w:pPr>
        <w:overflowPunct w:val="0"/>
        <w:autoSpaceDE w:val="0"/>
        <w:autoSpaceDN w:val="0"/>
        <w:adjustRightInd w:val="0"/>
        <w:textAlignment w:val="baseline"/>
        <w:rPr>
          <w:del w:id="40" w:author="Author" w:date="2023-10-26T09:31:54Z"/>
          <w:rFonts w:ascii="Times New Roman" w:hAnsi="Times New Roman" w:eastAsia="Times New Roman" w:cs="Times New Roman"/>
          <w:lang w:eastAsia="zh-CN"/>
        </w:rPr>
      </w:pP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gNB can use the</w:t>
      </w:r>
      <w:r>
        <w:rPr>
          <w:rFonts w:ascii="Times New Roman" w:hAnsi="Times New Roman" w:eastAsia="Times New Roman" w:cs="Times New Roman"/>
          <w:i/>
          <w:lang w:eastAsia="zh-CN"/>
        </w:rPr>
        <w:t xml:space="preserve"> RRCReconfiguration</w:t>
      </w:r>
      <w:r>
        <w:rPr>
          <w:rFonts w:ascii="Times New Roman" w:hAnsi="Times New Roman" w:eastAsia="Times New Roman" w:cs="Times New Roman"/>
          <w:lang w:eastAsia="zh-CN"/>
        </w:rPr>
        <w:t xml:space="preserve"> message to temporarily stop the UE from sending application layer measurement reports associated with one or multiple application layer measurement configurations. When the UE receives the QoE measurement collection pause indication, the UE temporarily stores application layer measurement reports in AS layer. When the UE receives the QoE measurement collection resume indication, the UE sends the stored application layer measurement reports to the gNB.</w:t>
      </w:r>
    </w:p>
    <w:p>
      <w:pPr>
        <w:rPr>
          <w:lang w:eastAsia="zh-CN"/>
        </w:rPr>
      </w:pP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3"/>
      </w:pPr>
      <w:bookmarkStart w:id="15" w:name="_Toc139018352"/>
      <w:r>
        <w:t>21.3</w:t>
      </w:r>
      <w:r>
        <w:tab/>
      </w:r>
      <w:r>
        <w:t>QoE Measurement Continuity for Mobility</w:t>
      </w:r>
      <w:bookmarkEnd w:id="15"/>
    </w:p>
    <w:p>
      <w:pPr>
        <w:overflowPunct w:val="0"/>
        <w:autoSpaceDE w:val="0"/>
        <w:autoSpaceDN w:val="0"/>
        <w:adjustRightInd w:val="0"/>
        <w:textAlignment w:val="baseline"/>
        <w:rPr>
          <w:rFonts w:ascii="Times New Roman" w:hAnsi="Times New Roman" w:eastAsia="Times New Roman" w:cs="Times New Roman"/>
          <w:lang w:eastAsia="ja-JP"/>
        </w:rPr>
      </w:pPr>
      <w:bookmarkStart w:id="16" w:name="_Toc139018353"/>
      <w:r>
        <w:rPr>
          <w:rFonts w:ascii="Times New Roman" w:hAnsi="Times New Roman" w:eastAsia="Times New Roman" w:cs="Times New Roman"/>
          <w:lang w:eastAsia="ja-JP"/>
        </w:rPr>
        <w:t xml:space="preserve">QoE measurement collection continuity for intra-system intra-RAT </w:t>
      </w:r>
      <w:ins w:id="41" w:author="Author" w:date="2023-10-26T09:32:03Z">
        <w:r>
          <w:rPr/>
          <w:t xml:space="preserve">handover </w:t>
        </w:r>
      </w:ins>
      <w:del w:id="42" w:author="Author" w:date="2023-10-26T09:32:03Z">
        <w:r>
          <w:rPr>
            <w:rFonts w:ascii="Times New Roman" w:hAnsi="Times New Roman" w:eastAsia="Times New Roman" w:cs="Times New Roman"/>
            <w:lang w:eastAsia="ja-JP"/>
          </w:rPr>
          <w:delText xml:space="preserve">mobility </w:delText>
        </w:r>
      </w:del>
      <w:r>
        <w:rPr>
          <w:rFonts w:ascii="Times New Roman" w:hAnsi="Times New Roman" w:eastAsia="Times New Roman" w:cs="Times New Roman"/>
          <w:lang w:eastAsia="ja-JP"/>
        </w:rPr>
        <w:t xml:space="preserve">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Pr>
          <w:rFonts w:ascii="Times New Roman" w:hAnsi="Times New Roman" w:eastAsia="宋体" w:cs="Times New Roman"/>
          <w:lang w:eastAsia="zh-CN"/>
        </w:rPr>
        <w:t>application layer</w:t>
      </w:r>
      <w:r>
        <w:rPr>
          <w:rFonts w:ascii="Times New Roman" w:hAnsi="Times New Roman" w:eastAsia="Times New Roman" w:cs="Times New Roman"/>
          <w:lang w:eastAsia="ja-JP"/>
        </w:rPr>
        <w:t xml:space="preserve"> measurement configuration.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For </w:t>
      </w:r>
      <w:ins w:id="43" w:author="Author" w:date="2023-10-26T09:32:18Z">
        <w:r>
          <w:rPr/>
          <w:t>handover</w:t>
        </w:r>
      </w:ins>
      <w:del w:id="44" w:author="Author" w:date="2023-10-26T09:32:18Z">
        <w:r>
          <w:rPr>
            <w:rFonts w:ascii="Times New Roman" w:hAnsi="Times New Roman" w:eastAsia="Times New Roman" w:cs="Times New Roman"/>
            <w:lang w:eastAsia="ja-JP"/>
          </w:rPr>
          <w:delText>the RRC_CONNECTED state mobility</w:delText>
        </w:r>
      </w:del>
      <w:r>
        <w:rPr>
          <w:rFonts w:ascii="Times New Roman" w:hAnsi="Times New Roman" w:eastAsia="Times New Roman" w:cs="Times New Roman"/>
          <w:lang w:eastAsia="ja-JP"/>
        </w:rPr>
        <w:t>, the source gNB may transmit the information related to one or more application layer measurement configurations of the UE to the target gNB via XnAP or NGAP. For signalling-based QoE, the service type</w:t>
      </w:r>
      <w:r>
        <w:rPr>
          <w:rFonts w:ascii="Times New Roman" w:hAnsi="Times New Roman" w:eastAsia="宋体" w:cs="Times New Roman"/>
          <w:lang w:eastAsia="zh-CN"/>
        </w:rPr>
        <w:t xml:space="preserve"> indication</w:t>
      </w:r>
      <w:r>
        <w:rPr>
          <w:rFonts w:ascii="Times New Roman" w:hAnsi="Times New Roman" w:eastAsia="Times New Roman" w:cs="Times New Roman"/>
          <w:lang w:eastAsia="ja-JP"/>
        </w:rPr>
        <w:t>, QoE reference, and, optionally, the MCE IP address, measurement configuration application layer ID, MDT alignment information, area scope, slice support list for QMC</w:t>
      </w:r>
      <w:r>
        <w:rPr>
          <w:rFonts w:ascii="Times New Roman" w:hAnsi="Times New Roman" w:eastAsia="宋体" w:cs="Times New Roman"/>
          <w:lang w:eastAsia="zh-CN"/>
        </w:rPr>
        <w:t>, available RAN visible QoE metrics</w:t>
      </w:r>
      <w:r>
        <w:rPr>
          <w:rFonts w:ascii="Times New Roman" w:hAnsi="Times New Roman" w:eastAsia="Times New Roman" w:cs="Times New Roman"/>
          <w:lang w:eastAsia="ja-JP"/>
        </w:rPr>
        <w:t xml:space="preserve"> and measurement status are passed to the target gNB. For management-based QoE, the service type</w:t>
      </w:r>
      <w:r>
        <w:rPr>
          <w:rFonts w:ascii="Times New Roman" w:hAnsi="Times New Roman" w:eastAsia="宋体" w:cs="Times New Roman"/>
          <w:lang w:eastAsia="zh-CN"/>
        </w:rPr>
        <w:t xml:space="preserve"> indication</w:t>
      </w:r>
      <w:r>
        <w:rPr>
          <w:rFonts w:ascii="Times New Roman" w:hAnsi="Times New Roman" w:eastAsia="Times New Roman" w:cs="Times New Roman"/>
          <w:lang w:eastAsia="ja-JP"/>
        </w:rPr>
        <w:t>, measurement configuration application layer ID, the MCE IP address and QoE measurement status are passed to the target gNB. For RRC_INACTIVE state mobility, QoE measurement configuration(s) of a specific UE can be retrieved from the gNB hosting the UE context when it resumes to the RRC_CONNECTED state.</w:t>
      </w:r>
    </w:p>
    <w:p>
      <w:pPr>
        <w:overflowPunct w:val="0"/>
        <w:autoSpaceDE w:val="0"/>
        <w:autoSpaceDN w:val="0"/>
        <w:adjustRightInd w:val="0"/>
        <w:textAlignment w:val="baseline"/>
        <w:rPr>
          <w:ins w:id="45" w:author="Author" w:date="2023-10-26T09:32:29Z"/>
          <w:rFonts w:ascii="Times New Roman" w:hAnsi="Times New Roman" w:eastAsia="Times New Roman" w:cs="Times New Roman"/>
          <w:lang w:eastAsia="ja-JP"/>
        </w:rPr>
      </w:pPr>
      <w:r>
        <w:rPr>
          <w:rFonts w:ascii="Times New Roman" w:hAnsi="Times New Roman" w:eastAsia="Times New Roman" w:cs="Times New Roman"/>
          <w:lang w:eastAsia="ja-JP"/>
        </w:rPr>
        <w:t>For signalling-based QoE, at handover to a target gNB that supports QoE measurement collection, the target gNB decides which of the application layer measurement configurations should be kept or released, e.g., based on application layer measurement configuration information received from the source gNB in Xn/N</w:t>
      </w:r>
      <w:r>
        <w:rPr>
          <w:rFonts w:ascii="Times New Roman" w:hAnsi="Times New Roman" w:eastAsia="Times New Roman" w:cs="Times New Roman"/>
          <w:lang w:eastAsia="zh-CN"/>
        </w:rPr>
        <w:t>G</w:t>
      </w:r>
      <w:r>
        <w:rPr>
          <w:rFonts w:ascii="Times New Roman" w:hAnsi="Times New Roman" w:eastAsia="Times New Roman" w:cs="Times New Roman"/>
          <w:lang w:eastAsia="ja-JP"/>
        </w:rPr>
        <w:t xml:space="preserve"> signalling.</w:t>
      </w:r>
    </w:p>
    <w:p>
      <w:pPr>
        <w:rPr>
          <w:ins w:id="46" w:author="Author" w:date="2023-10-26T09:32:30Z"/>
        </w:rPr>
      </w:pPr>
      <w:ins w:id="47" w:author="Author" w:date="2023-10-26T09:32:30Z">
        <w:r>
          <w:rPr/>
          <w:t xml:space="preserve">For QoE sessions pertaining to data flows received via MBS broadcast, QoE measurement collection may continue during the RRC_INACTIVE and RRC_IDLE states, and the measurement results, if collected, may be provided to the network when the UE returns to the RRC_CONNECTED state. </w:t>
        </w:r>
      </w:ins>
    </w:p>
    <w:p>
      <w:pPr>
        <w:rPr>
          <w:ins w:id="48" w:author="Author" w:date="2023-10-26T09:32:30Z"/>
        </w:rPr>
      </w:pPr>
      <w:ins w:id="49" w:author="Author" w:date="2023-10-26T09:32:30Z">
        <w:r>
          <w:rPr/>
          <w:t>Upon UE’s transition from the RRC_IDLE to the RRC_CONNECTED state, the gNB serving the UE should ensure that it does not release an already configured signaling based QoE measurement configuration for the sake of configuring a new management-based QoE measurement configuration.</w:t>
        </w:r>
      </w:ins>
    </w:p>
    <w:p>
      <w:pPr>
        <w:overflowPunct w:val="0"/>
        <w:autoSpaceDE w:val="0"/>
        <w:autoSpaceDN w:val="0"/>
        <w:adjustRightInd w:val="0"/>
        <w:textAlignment w:val="baseline"/>
        <w:rPr>
          <w:del w:id="50" w:author="Author" w:date="2023-10-26T09:32:31Z"/>
          <w:rFonts w:ascii="Times New Roman" w:hAnsi="Times New Roman" w:eastAsia="Times New Roman" w:cs="Times New Roman"/>
          <w:lang w:eastAsia="ja-JP"/>
        </w:rPr>
      </w:pP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When the UE resumes the connection with a gNB that does not support QoE, the UE releases all application layer measurement configurations.</w:t>
      </w:r>
    </w:p>
    <w:p>
      <w:pPr>
        <w:overflowPunct w:val="0"/>
        <w:autoSpaceDE w:val="0"/>
        <w:autoSpaceDN w:val="0"/>
        <w:adjustRightInd w:val="0"/>
        <w:textAlignment w:val="baseline"/>
        <w:rPr>
          <w:rFonts w:ascii="Times New Roman" w:hAnsi="Times New Roman" w:eastAsia="Times New Roman" w:cs="Times New Roman"/>
          <w:lang w:eastAsia="zh-CN"/>
        </w:rPr>
      </w:pPr>
    </w:p>
    <w:p>
      <w:pPr>
        <w:pStyle w:val="3"/>
      </w:pPr>
      <w:r>
        <w:t>21.4</w:t>
      </w:r>
      <w:r>
        <w:tab/>
      </w:r>
      <w:r>
        <w:t>RAN Visible QoE Measurements</w:t>
      </w:r>
      <w:bookmarkEnd w:id="16"/>
    </w:p>
    <w:p>
      <w:r>
        <w:t>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management-based or the signalling-based QoE configuration. The set of available RAN visible QoE metrics is a subset of the metrics configured as part of QoE measurement configuration encapsulated in the application layer container. RAN visible QoE measurements and</w:t>
      </w:r>
      <w:r>
        <w:rPr>
          <w:rFonts w:eastAsia="宋体"/>
          <w:lang w:eastAsia="zh-CN"/>
        </w:rPr>
        <w:t xml:space="preserve"> encapsulated</w:t>
      </w:r>
      <w:r>
        <w:t xml:space="preserve"> QoE measurements can be configured together or separately. RAN visible </w:t>
      </w:r>
      <w:r>
        <w:rPr>
          <w:rFonts w:eastAsia="宋体"/>
          <w:lang w:eastAsia="zh-CN"/>
        </w:rPr>
        <w:t>QoE</w:t>
      </w:r>
      <w:r>
        <w:t xml:space="preserve"> measurements can only be configured if there is a corresponding </w:t>
      </w:r>
      <w:r>
        <w:rPr>
          <w:rFonts w:eastAsia="宋体"/>
          <w:lang w:eastAsia="zh-CN"/>
        </w:rPr>
        <w:t>QoE</w:t>
      </w:r>
      <w:r>
        <w:t xml:space="preserve"> measurement configuration for the same service type configured at the UE. </w:t>
      </w:r>
      <w:r>
        <w:rPr>
          <w:rStyle w:val="33"/>
          <w:sz w:val="20"/>
        </w:rPr>
        <w:t>The gNB may modify a RAN visible QoE configuration by releasing it and configuring the UE with a new RAN visible QoE configuration pertaining to the same QoE reference</w:t>
      </w:r>
      <w:r>
        <w:rPr>
          <w:rStyle w:val="33"/>
          <w:rFonts w:eastAsia="宋体"/>
          <w:sz w:val="20"/>
          <w:lang w:eastAsia="zh-CN"/>
        </w:rPr>
        <w:t>.</w:t>
      </w:r>
      <w:r>
        <w:rPr>
          <w:rStyle w:val="33"/>
          <w:rFonts w:eastAsia="宋体"/>
          <w:lang w:eastAsia="zh-CN"/>
        </w:rPr>
        <w:t xml:space="preserve"> </w:t>
      </w:r>
      <w:r>
        <w:rPr>
          <w:lang w:eastAsia="zh-CN"/>
        </w:rPr>
        <w:t>In this case, the new RAN visible QoE configuration applies immediately, i.e., during the same application session</w:t>
      </w:r>
      <w:r>
        <w:t>.</w:t>
      </w:r>
    </w:p>
    <w:p>
      <w:pPr>
        <w:rPr>
          <w:rFonts w:eastAsia="宋体"/>
          <w:lang w:eastAsia="zh-CN"/>
        </w:rPr>
      </w:pPr>
      <w:r>
        <w:t xml:space="preserve">Multiple simultaneous RAN visible </w:t>
      </w:r>
      <w:r>
        <w:rPr>
          <w:rFonts w:eastAsia="宋体"/>
          <w:lang w:eastAsia="zh-CN"/>
        </w:rPr>
        <w:t>QoE</w:t>
      </w:r>
      <w:r>
        <w:t xml:space="preserve"> measurement configurations and reports can be supported for RAN visible </w:t>
      </w:r>
      <w:r>
        <w:rPr>
          <w:rFonts w:eastAsia="宋体"/>
          <w:lang w:eastAsia="zh-CN"/>
        </w:rPr>
        <w:t>QoE</w:t>
      </w:r>
      <w:r>
        <w:t xml:space="preserve"> measurements, and each RAN visible </w:t>
      </w:r>
      <w:r>
        <w:rPr>
          <w:rFonts w:eastAsia="宋体"/>
          <w:lang w:eastAsia="zh-CN"/>
        </w:rPr>
        <w:t>QoE</w:t>
      </w:r>
      <w:r>
        <w:t xml:space="preserve"> measurement configuration and report is identified by the same </w:t>
      </w:r>
      <w:r>
        <w:rPr>
          <w:rFonts w:eastAsia="宋体"/>
          <w:lang w:eastAsia="zh-CN"/>
        </w:rPr>
        <w:t>measurement configuration application layer ID</w:t>
      </w:r>
      <w:r>
        <w:t xml:space="preserve"> as the </w:t>
      </w:r>
      <w:r>
        <w:rPr>
          <w:rFonts w:eastAsia="宋体"/>
          <w:lang w:eastAsia="zh-CN"/>
        </w:rPr>
        <w:t>corresponding QoE</w:t>
      </w:r>
      <w:r>
        <w:t xml:space="preserve"> measurement configuration and measurement report. After receiving the RAN visible </w:t>
      </w:r>
      <w:r>
        <w:rPr>
          <w:rFonts w:eastAsia="宋体"/>
          <w:lang w:eastAsia="zh-CN"/>
        </w:rPr>
        <w:t>QoE</w:t>
      </w:r>
      <w:r>
        <w:t xml:space="preserve"> measurement configuration, the UE RRC layer forwards the configuration to the application layer, indicating the service type, the </w:t>
      </w:r>
      <w:r>
        <w:rPr>
          <w:rFonts w:eastAsia="宋体"/>
          <w:lang w:eastAsia="zh-CN"/>
        </w:rPr>
        <w:t>measurement configuration application layer ID</w:t>
      </w:r>
      <w:r>
        <w:t xml:space="preserve"> and, optionally, the reporting periodicity for RAN visible QoE. The application layer sends the RAN visible </w:t>
      </w:r>
      <w:r>
        <w:rPr>
          <w:rFonts w:eastAsia="宋体"/>
          <w:lang w:eastAsia="zh-CN"/>
        </w:rPr>
        <w:t>QoE</w:t>
      </w:r>
      <w:r>
        <w:t xml:space="preserve"> measurement report associated with the </w:t>
      </w:r>
      <w:r>
        <w:rPr>
          <w:rFonts w:eastAsia="宋体"/>
          <w:lang w:eastAsia="zh-CN"/>
        </w:rPr>
        <w:t>measurement configuration application layer ID</w:t>
      </w:r>
      <w:r>
        <w:t xml:space="preserve"> to the UE's AS layer.</w:t>
      </w:r>
      <w:ins w:id="51" w:author="Author" w:date="2023-10-26T09:32:56Z">
        <w:r>
          <w:rPr>
            <w:rFonts w:hint="eastAsia" w:eastAsia="宋体"/>
            <w:lang w:val="en-US" w:eastAsia="zh-CN"/>
          </w:rPr>
          <w:t xml:space="preserve"> </w:t>
        </w:r>
      </w:ins>
      <w:ins w:id="52" w:author="Author" w:date="2023-10-26T09:32:53Z">
        <w:r>
          <w:rPr/>
          <w:t>The PDU session ID(s) and the QoS Flow IDs corresponding to the service that is subject to QoE measurements can also be reported by the UE along with the RAN visible QoE measurement results.</w:t>
        </w:r>
      </w:ins>
      <w:del w:id="53" w:author="Author" w:date="2023-10-26T09:32:53Z">
        <w:r>
          <w:rPr/>
          <w:delText xml:space="preserve"> The PDU session ID(s) corresponding to the service that is subject to QoE measurements can also be reported by the UE along with the RAN visible QoE measurement results.</w:delText>
        </w:r>
      </w:del>
    </w:p>
    <w:p>
      <w:pPr>
        <w:rPr>
          <w:lang w:eastAsia="zh-CN"/>
        </w:rPr>
      </w:pPr>
      <w:r>
        <w:t>If there is no reporting periodicity defined in the RAN visible QoE configuration,</w:t>
      </w:r>
      <w:r>
        <w:rPr>
          <w:rFonts w:eastAsia="宋体"/>
          <w:lang w:eastAsia="zh-CN"/>
        </w:rPr>
        <w:t xml:space="preserve"> the </w:t>
      </w:r>
      <w:r>
        <w:t xml:space="preserve">UE sends both RAN visible </w:t>
      </w:r>
      <w:r>
        <w:rPr>
          <w:rFonts w:eastAsia="宋体"/>
          <w:lang w:eastAsia="zh-CN"/>
        </w:rPr>
        <w:t>QoE</w:t>
      </w:r>
      <w:r>
        <w:t xml:space="preserve"> measurement reports and the </w:t>
      </w:r>
      <w:r>
        <w:rPr>
          <w:rFonts w:eastAsia="宋体"/>
          <w:lang w:eastAsia="zh-CN"/>
        </w:rPr>
        <w:t>QoE</w:t>
      </w:r>
      <w:r>
        <w:t xml:space="preserve"> measurement reports to the gNB in the same </w:t>
      </w:r>
      <w:r>
        <w:rPr>
          <w:i/>
        </w:rPr>
        <w:t>MeasurementReportAppLayer</w:t>
      </w:r>
      <w:r>
        <w:t xml:space="preserve"> message, except when </w:t>
      </w:r>
      <w:r>
        <w:rPr>
          <w:lang w:eastAsia="zh-CN"/>
        </w:rPr>
        <w:t>QoE measurement collection pause indication is received</w:t>
      </w:r>
      <w:r>
        <w:t xml:space="preserve"> (e.g., in case of RAN overload). When a QoE measurement collection is paused, if there is no reporting periodicity defined in the RAN visible QoE configuration, the encapsulated QoE reports are stored at the UE's RRC layer, but the RAN visible QoE reports continue to be reported to the gNB with the reporting periodicity configured for encapsulated QoE reporting. The RAN visible QoE measurements can be reported with a reporting periodicity different from the one of the corresponding encapsulated QoE measurements, when a </w:t>
      </w:r>
      <w:r>
        <w:rPr>
          <w:lang w:eastAsia="zh-CN"/>
        </w:rPr>
        <w:t>dedicated RAN visible QoE reporting periodicity is configured by the gNB. The UE Application layer can measure the RAN visible QoE metrics based on this reporting periodicity.</w:t>
      </w:r>
    </w:p>
    <w:p>
      <w:pPr>
        <w:rPr>
          <w:rFonts w:eastAsia="宋体"/>
          <w:lang w:eastAsia="zh-CN"/>
        </w:rPr>
      </w:pPr>
      <w:r>
        <w:t xml:space="preserve">The gNB can release one or multiple RAN visible </w:t>
      </w:r>
      <w:r>
        <w:rPr>
          <w:rFonts w:eastAsia="宋体"/>
          <w:lang w:eastAsia="zh-CN"/>
        </w:rPr>
        <w:t>QoE</w:t>
      </w:r>
      <w:r>
        <w:t xml:space="preserve"> measurement configurations from the UE in one </w:t>
      </w:r>
      <w:r>
        <w:rPr>
          <w:i/>
          <w:lang w:eastAsia="zh-CN"/>
        </w:rPr>
        <w:t>RRCReconfiguration</w:t>
      </w:r>
      <w:r>
        <w:t xml:space="preserve"> message at any time.</w:t>
      </w:r>
      <w:r>
        <w:rPr>
          <w:rFonts w:eastAsia="宋体"/>
          <w:lang w:eastAsia="zh-CN"/>
        </w:rPr>
        <w:t xml:space="preserve"> If the encapsulated QoE configuration is released, the corresponding RAN visible QoE configuration shall be released as well.</w:t>
      </w:r>
    </w:p>
    <w:p>
      <w:r>
        <w:rPr>
          <w:rFonts w:eastAsia="宋体"/>
          <w:lang w:eastAsia="zh-CN"/>
        </w:rPr>
        <w:t xml:space="preserve">The </w:t>
      </w:r>
      <w:r>
        <w:t xml:space="preserve">RAN visible QoE configuration can be transferred from the source </w:t>
      </w:r>
      <w:r>
        <w:rPr>
          <w:lang w:eastAsia="zh-CN"/>
        </w:rPr>
        <w:t xml:space="preserve">gNB </w:t>
      </w:r>
      <w:r>
        <w:t xml:space="preserve">to the target </w:t>
      </w:r>
      <w:r>
        <w:rPr>
          <w:lang w:eastAsia="zh-CN"/>
        </w:rPr>
        <w:t>gNB</w:t>
      </w:r>
      <w:r>
        <w:t xml:space="preserve"> upon mobility and from the old gNB to the new gNB during context retrieval</w:t>
      </w:r>
      <w:r>
        <w:rPr>
          <w:lang w:eastAsia="zh-CN"/>
        </w:rPr>
        <w:t>.</w:t>
      </w:r>
      <w:r>
        <w:t xml:space="preserve"> T</w:t>
      </w:r>
      <w:r>
        <w:rPr>
          <w:lang w:eastAsia="zh-CN"/>
        </w:rPr>
        <w:t>he t</w:t>
      </w:r>
      <w:r>
        <w:t xml:space="preserve">arget </w:t>
      </w:r>
      <w:r>
        <w:rPr>
          <w:lang w:eastAsia="zh-CN"/>
        </w:rPr>
        <w:t>gNB or the new gNB can</w:t>
      </w:r>
      <w:r>
        <w:t xml:space="preserve"> generate a new RAN visible QoE configuration </w:t>
      </w:r>
      <w:r>
        <w:rPr>
          <w:rFonts w:eastAsia="宋体"/>
          <w:lang w:eastAsia="zh-CN"/>
        </w:rPr>
        <w:t xml:space="preserve">based on the available RAN visible QoE metrics received </w:t>
      </w:r>
      <w:r>
        <w:t xml:space="preserve">and </w:t>
      </w:r>
      <w:r>
        <w:rPr>
          <w:lang w:eastAsia="zh-CN"/>
        </w:rPr>
        <w:t>can send the new RAN visible QoE configuration</w:t>
      </w:r>
      <w:r>
        <w:t xml:space="preserve"> to </w:t>
      </w:r>
      <w:r>
        <w:rPr>
          <w:lang w:eastAsia="zh-CN"/>
        </w:rPr>
        <w:t xml:space="preserve">the </w:t>
      </w:r>
      <w:r>
        <w:t>UE during handover or the RRC resume procedure.</w:t>
      </w:r>
    </w:p>
    <w:p/>
    <w:p>
      <w:pPr>
        <w:jc w:val="center"/>
        <w:rPr>
          <w:ins w:id="54" w:author="Author" w:date="2023-10-26T09:33:49Z"/>
          <w:color w:val="FF0000"/>
          <w:lang w:val="en-US"/>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3"/>
        <w:rPr>
          <w:ins w:id="55" w:author="Author" w:date="2023-10-26T09:33:51Z"/>
          <w:lang w:val="en-US"/>
        </w:rPr>
      </w:pPr>
      <w:ins w:id="56" w:author="Author" w:date="2023-10-26T09:33:51Z">
        <w:r>
          <w:rPr>
            <w:lang w:val="en-US"/>
          </w:rPr>
          <w:t>21.x</w:t>
        </w:r>
      </w:ins>
      <w:ins w:id="57" w:author="Author" w:date="2023-10-26T09:33:51Z">
        <w:r>
          <w:rPr>
            <w:lang w:val="en-US"/>
          </w:rPr>
          <w:tab/>
        </w:r>
      </w:ins>
      <w:ins w:id="58" w:author="Author" w:date="2023-10-26T09:33:51Z">
        <w:r>
          <w:rPr>
            <w:lang w:val="en-US"/>
          </w:rPr>
          <w:t>QoE Measurement Collection in High Mobility Scenarios</w:t>
        </w:r>
      </w:ins>
    </w:p>
    <w:p>
      <w:pPr>
        <w:pStyle w:val="4"/>
        <w:rPr>
          <w:ins w:id="59" w:author="Author" w:date="2023-10-26T09:33:51Z"/>
          <w:lang w:val="en-US"/>
        </w:rPr>
      </w:pPr>
      <w:ins w:id="60" w:author="Author" w:date="2023-10-26T09:33:51Z">
        <w:r>
          <w:rPr>
            <w:lang w:val="en-US"/>
          </w:rPr>
          <w:t>21.x.1</w:t>
        </w:r>
      </w:ins>
      <w:ins w:id="61" w:author="Author" w:date="2023-10-26T09:33:51Z">
        <w:r>
          <w:rPr>
            <w:lang w:val="en-US"/>
          </w:rPr>
          <w:tab/>
        </w:r>
      </w:ins>
      <w:ins w:id="62" w:author="Author" w:date="2023-10-26T09:33:51Z">
        <w:r>
          <w:rPr>
            <w:lang w:val="en-US"/>
          </w:rPr>
          <w:t>General</w:t>
        </w:r>
      </w:ins>
    </w:p>
    <w:p>
      <w:pPr>
        <w:rPr>
          <w:ins w:id="63" w:author="Author" w:date="2023-10-26T09:33:51Z"/>
          <w:lang w:val="en-US"/>
        </w:rPr>
      </w:pPr>
      <w:ins w:id="64" w:author="Author" w:date="2023-10-26T09:33:51Z">
        <w:r>
          <w:rPr>
            <w:lang w:val="en-US"/>
          </w:rPr>
          <w:t>QoE measurements can be confined to high mobility state of the UE and/or to HSDN cells.</w:t>
        </w:r>
      </w:ins>
    </w:p>
    <w:p>
      <w:pPr>
        <w:pStyle w:val="4"/>
        <w:rPr>
          <w:ins w:id="65" w:author="Author" w:date="2023-10-26T09:33:51Z"/>
          <w:lang w:val="en-US"/>
        </w:rPr>
      </w:pPr>
      <w:ins w:id="66" w:author="Author" w:date="2023-10-26T09:33:51Z">
        <w:r>
          <w:rPr>
            <w:lang w:val="en-US"/>
          </w:rPr>
          <w:t>21.x.2</w:t>
        </w:r>
      </w:ins>
      <w:ins w:id="67" w:author="Author" w:date="2023-10-26T09:33:51Z">
        <w:r>
          <w:rPr>
            <w:lang w:val="en-US"/>
          </w:rPr>
          <w:tab/>
        </w:r>
      </w:ins>
      <w:ins w:id="68" w:author="Author" w:date="2023-10-26T09:33:51Z">
        <w:r>
          <w:rPr>
            <w:lang w:val="en-US"/>
          </w:rPr>
          <w:t>Support for RAN visible QoE measurements and reporting in NR-DC</w:t>
        </w:r>
      </w:ins>
    </w:p>
    <w:p>
      <w:pPr>
        <w:rPr>
          <w:ins w:id="69" w:author="Author" w:date="2023-10-26T09:33:51Z"/>
          <w:lang w:val="en-US"/>
        </w:rPr>
      </w:pPr>
      <w:ins w:id="70" w:author="Author" w:date="2023-10-26T09:33:51Z">
        <w:r>
          <w:rPr>
            <w:lang w:val="en-US"/>
          </w:rPr>
          <w:t>Either the MN or the SN can generate and send a RAN visible QoE configuration to the UE. The gNB that has initially configured a UE in NR-DC with an RVQoE configuration can modify and release the RAN visible QoE configuration as long as the UE is connected to this gNB. The gNB that configures the encapsulated QoE to UE is the RAN visible QoE-configuring gNB, the peer node is the non-RAN visible QoE-configuring gNB. Upon mobility, the RAN visible QoE-configuring gNB may be changed.</w:t>
        </w:r>
      </w:ins>
    </w:p>
    <w:p>
      <w:pPr>
        <w:rPr>
          <w:ins w:id="71" w:author="Author" w:date="2023-10-26T09:33:51Z"/>
          <w:lang w:val="en-US"/>
        </w:rPr>
      </w:pPr>
      <w:ins w:id="72" w:author="Author" w:date="2023-10-26T09:33:51Z">
        <w:r>
          <w:rPr>
            <w:lang w:val="en-US"/>
          </w:rPr>
          <w:t xml:space="preserve">The UE may send RAN visible QoE reports to the network using either SRB4 or SRB5. In addition, the gNB that received a RAN visible QoE report can forward the report to the other gNB (the SN or the MN). QoE reports and RAN visible QoE reports pertaining to the same QoE Reference can be sent over the same SRB or they can be sent over different SRBs. </w:t>
        </w:r>
      </w:ins>
    </w:p>
    <w:p>
      <w:pPr>
        <w:rPr>
          <w:ins w:id="73" w:author="Author" w:date="2023-10-26T09:33:51Z"/>
          <w:lang w:val="en-US"/>
        </w:rPr>
      </w:pPr>
      <w:ins w:id="74" w:author="Author" w:date="2023-10-26T09:33:51Z">
        <w:r>
          <w:rPr>
            <w:lang w:val="en-US"/>
          </w:rPr>
          <w:t>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w:t>
        </w:r>
        <w:bookmarkStart w:id="17" w:name="_GoBack"/>
        <w:bookmarkEnd w:id="17"/>
        <w:r>
          <w:rPr>
            <w:lang w:val="en-US"/>
          </w:rPr>
          <w:t xml:space="preserve">ased on the PDU session ID(s) and the QoS flow ID(s) indicated in a received RAN visible QoE report. </w:t>
        </w:r>
      </w:ins>
    </w:p>
    <w:p>
      <w:pPr>
        <w:rPr>
          <w:ins w:id="75" w:author="Author" w:date="2023-10-26T09:33:51Z"/>
          <w:lang w:val="en-US"/>
        </w:rPr>
      </w:pPr>
      <w:ins w:id="76" w:author="Author" w:date="2023-10-26T09:33:51Z">
        <w:r>
          <w:rPr>
            <w:lang w:val="en-US"/>
          </w:rPr>
          <w:t>When the RAN visible QoE-configuring gNB receives a RAN visible QoE measurement report and determines that the non-RVQoE-configuring gNB provides at least one bearer for the application session, the RVQoE-configuring gNB indicates that to the non-RVQoE-configuring gNB. The non-RVQoE-configuring gNB can then, if needed, indicate to the RAN visible QoE-configuring gNB its preference with respect to the reporting path for the subsequent RAN visible QoE reports and its preferred RAN visible QoE configuration parameters.</w:t>
        </w:r>
      </w:ins>
    </w:p>
    <w:p>
      <w:pPr>
        <w:rPr>
          <w:ins w:id="77" w:author="Author" w:date="2023-10-26T09:33:51Z"/>
          <w:lang w:val="en-US"/>
        </w:rPr>
      </w:pPr>
      <w:ins w:id="78" w:author="Author" w:date="2023-10-26T09:33:51Z">
        <w:r>
          <w:rPr>
            <w:lang w:val="en-US"/>
          </w:rPr>
          <w:t xml:space="preserve">If a gNB receives a RAN visible QoE report from a UE in NR-DC, and determines that the bearer(s) for the application session data flow(s) is (are) also provided by the other gNB, or only, provided by the other gNB, the gNB that received the RAN visible QoE measurement report may forward the received RAN visible QoE report to the other gNB. The RAN visible QoE configuration may also be modified or released. </w:t>
        </w:r>
      </w:ins>
    </w:p>
    <w:p>
      <w:pPr>
        <w:pStyle w:val="61"/>
        <w:rPr>
          <w:ins w:id="79" w:author="Author" w:date="2023-10-26T09:33:51Z"/>
          <w:lang w:val="en-US"/>
        </w:rPr>
      </w:pPr>
      <w:ins w:id="80" w:author="Author" w:date="2023-10-26T09:33:51Z">
        <w:r>
          <w:rPr>
            <w:lang w:val="en-US"/>
          </w:rPr>
          <w:t>Editor Note: FFS on further refinements and the placement of the above text.The naming “RVQoE-configuring gNB” and “non-RVQoE-configuring gNB” are to be further discussed.</w:t>
        </w:r>
      </w:ins>
    </w:p>
    <w:p>
      <w:pPr>
        <w:jc w:val="center"/>
        <w:rPr>
          <w:color w:val="FF0000"/>
          <w:lang w:val="en-US" w:eastAsia="ja-JP"/>
        </w:rPr>
      </w:pP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35909">
    <w15:presenceInfo w15:providerId="None" w15:userId="R3-235909"/>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61C6"/>
    <w:rsid w:val="00192C46"/>
    <w:rsid w:val="001A08B3"/>
    <w:rsid w:val="001A7B60"/>
    <w:rsid w:val="001B52F0"/>
    <w:rsid w:val="001B7A65"/>
    <w:rsid w:val="001E41F3"/>
    <w:rsid w:val="00255264"/>
    <w:rsid w:val="0026004D"/>
    <w:rsid w:val="002640DD"/>
    <w:rsid w:val="00275D12"/>
    <w:rsid w:val="00275FB7"/>
    <w:rsid w:val="00284FEB"/>
    <w:rsid w:val="002860C4"/>
    <w:rsid w:val="002A17C1"/>
    <w:rsid w:val="002B5741"/>
    <w:rsid w:val="002E472E"/>
    <w:rsid w:val="002E5F5D"/>
    <w:rsid w:val="002E7CF4"/>
    <w:rsid w:val="00305409"/>
    <w:rsid w:val="003545D0"/>
    <w:rsid w:val="003609EF"/>
    <w:rsid w:val="0036231A"/>
    <w:rsid w:val="00374DD4"/>
    <w:rsid w:val="003C5A0C"/>
    <w:rsid w:val="003E1A36"/>
    <w:rsid w:val="00410371"/>
    <w:rsid w:val="00420CD3"/>
    <w:rsid w:val="004242F1"/>
    <w:rsid w:val="00456BA6"/>
    <w:rsid w:val="0046617F"/>
    <w:rsid w:val="004B75B7"/>
    <w:rsid w:val="004B792C"/>
    <w:rsid w:val="004E5548"/>
    <w:rsid w:val="005141D9"/>
    <w:rsid w:val="0051580D"/>
    <w:rsid w:val="00547111"/>
    <w:rsid w:val="005741C8"/>
    <w:rsid w:val="00581D7E"/>
    <w:rsid w:val="00592D74"/>
    <w:rsid w:val="005E2C44"/>
    <w:rsid w:val="005F3897"/>
    <w:rsid w:val="00621188"/>
    <w:rsid w:val="006257ED"/>
    <w:rsid w:val="00653DE4"/>
    <w:rsid w:val="00665C47"/>
    <w:rsid w:val="00695808"/>
    <w:rsid w:val="006B46FB"/>
    <w:rsid w:val="006E21FB"/>
    <w:rsid w:val="007031AA"/>
    <w:rsid w:val="00730157"/>
    <w:rsid w:val="00792342"/>
    <w:rsid w:val="007977A8"/>
    <w:rsid w:val="007A16D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551D"/>
    <w:rsid w:val="009777D9"/>
    <w:rsid w:val="00991B88"/>
    <w:rsid w:val="009A5753"/>
    <w:rsid w:val="009A579D"/>
    <w:rsid w:val="009B3896"/>
    <w:rsid w:val="009E3297"/>
    <w:rsid w:val="009F734F"/>
    <w:rsid w:val="00A246B6"/>
    <w:rsid w:val="00A47E70"/>
    <w:rsid w:val="00A50CF0"/>
    <w:rsid w:val="00A7671C"/>
    <w:rsid w:val="00AA2CBC"/>
    <w:rsid w:val="00AC5820"/>
    <w:rsid w:val="00AD1CD8"/>
    <w:rsid w:val="00B1431A"/>
    <w:rsid w:val="00B258BB"/>
    <w:rsid w:val="00B67B97"/>
    <w:rsid w:val="00B8090D"/>
    <w:rsid w:val="00B968C8"/>
    <w:rsid w:val="00BA3EC5"/>
    <w:rsid w:val="00BA51D9"/>
    <w:rsid w:val="00BB5DFC"/>
    <w:rsid w:val="00BD279D"/>
    <w:rsid w:val="00BD6BB8"/>
    <w:rsid w:val="00BF7A9F"/>
    <w:rsid w:val="00C23258"/>
    <w:rsid w:val="00C528E4"/>
    <w:rsid w:val="00C57CAC"/>
    <w:rsid w:val="00C65809"/>
    <w:rsid w:val="00C66BA2"/>
    <w:rsid w:val="00C73A22"/>
    <w:rsid w:val="00C870F6"/>
    <w:rsid w:val="00C95985"/>
    <w:rsid w:val="00CC5026"/>
    <w:rsid w:val="00CC68D0"/>
    <w:rsid w:val="00D03F9A"/>
    <w:rsid w:val="00D06D51"/>
    <w:rsid w:val="00D24991"/>
    <w:rsid w:val="00D43DD9"/>
    <w:rsid w:val="00D50255"/>
    <w:rsid w:val="00D640EF"/>
    <w:rsid w:val="00D66520"/>
    <w:rsid w:val="00D8198D"/>
    <w:rsid w:val="00D84AE9"/>
    <w:rsid w:val="00DE34CF"/>
    <w:rsid w:val="00E13F3D"/>
    <w:rsid w:val="00E31698"/>
    <w:rsid w:val="00E34898"/>
    <w:rsid w:val="00E53B3B"/>
    <w:rsid w:val="00E67C6E"/>
    <w:rsid w:val="00EB09B7"/>
    <w:rsid w:val="00EE7D7C"/>
    <w:rsid w:val="00F25D98"/>
    <w:rsid w:val="00F300FB"/>
    <w:rsid w:val="00F40BED"/>
    <w:rsid w:val="00F42F29"/>
    <w:rsid w:val="00F5775A"/>
    <w:rsid w:val="00FB6386"/>
    <w:rsid w:val="00FC029F"/>
    <w:rsid w:val="026F3DEF"/>
    <w:rsid w:val="03C31912"/>
    <w:rsid w:val="0444225D"/>
    <w:rsid w:val="0CE97943"/>
    <w:rsid w:val="0D303A65"/>
    <w:rsid w:val="0E0C4158"/>
    <w:rsid w:val="0F4B7F4E"/>
    <w:rsid w:val="0F7A1B39"/>
    <w:rsid w:val="1EF969E0"/>
    <w:rsid w:val="28E22533"/>
    <w:rsid w:val="29320C5B"/>
    <w:rsid w:val="2AFF0055"/>
    <w:rsid w:val="34B82083"/>
    <w:rsid w:val="3BBE6BF1"/>
    <w:rsid w:val="420E3FCE"/>
    <w:rsid w:val="456D174E"/>
    <w:rsid w:val="45F57C49"/>
    <w:rsid w:val="4B44713B"/>
    <w:rsid w:val="4F7448EA"/>
    <w:rsid w:val="51B947B1"/>
    <w:rsid w:val="531F1CF8"/>
    <w:rsid w:val="57144004"/>
    <w:rsid w:val="5F1F14E0"/>
    <w:rsid w:val="60792D85"/>
    <w:rsid w:val="697707F3"/>
    <w:rsid w:val="6C32018A"/>
    <w:rsid w:val="6F7B6AA3"/>
    <w:rsid w:val="745446D7"/>
    <w:rsid w:val="7AAD0D7C"/>
    <w:rsid w:val="7D285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iPriority="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0">
    <w:name w:val="Default Paragraph Font"/>
    <w:semiHidden/>
    <w:unhideWhenUsed/>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8">
    <w:name w:val="Document Map"/>
    <w:basedOn w:val="1"/>
    <w:semiHidden/>
    <w:uiPriority w:val="0"/>
    <w:pPr>
      <w:shd w:val="clear" w:color="auto" w:fill="000080"/>
    </w:pPr>
    <w:rPr>
      <w:rFonts w:ascii="Tahoma" w:hAnsi="Tahoma" w:cs="Tahoma"/>
    </w:rPr>
  </w:style>
  <w:style w:type="paragraph" w:styleId="19">
    <w:name w:val="annotation text"/>
    <w:basedOn w:val="1"/>
    <w:semiHidden/>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1"/>
    <w:qFormat/>
    <w:uiPriority w:val="0"/>
    <w:pPr>
      <w:widowControl w:val="0"/>
      <w:spacing w:after="0"/>
      <w:jc w:val="center"/>
    </w:pPr>
    <w:rPr>
      <w:rFonts w:ascii="Arial" w:hAnsi="Arial"/>
      <w:b/>
      <w:i/>
      <w:sz w:val="18"/>
    </w:rPr>
  </w:style>
  <w:style w:type="paragraph" w:styleId="23">
    <w:name w:val="List"/>
    <w:basedOn w:val="1"/>
    <w:qFormat/>
    <w:uiPriority w:val="0"/>
    <w:pPr>
      <w:ind w:left="568" w:hanging="284"/>
    </w:pPr>
  </w:style>
  <w:style w:type="paragraph" w:styleId="24">
    <w:name w:val="footnote text"/>
    <w:basedOn w:val="1"/>
    <w:semiHidden/>
    <w:qFormat/>
    <w:uiPriority w:val="0"/>
    <w:pPr>
      <w:keepLines/>
      <w:spacing w:after="0"/>
      <w:ind w:left="454" w:hanging="454"/>
    </w:pPr>
    <w:rPr>
      <w:sz w:val="16"/>
    </w:rPr>
  </w:style>
  <w:style w:type="paragraph" w:styleId="25">
    <w:name w:val="toc 9"/>
    <w:basedOn w:val="20"/>
    <w:next w:val="1"/>
    <w:semiHidden/>
    <w:qFormat/>
    <w:uiPriority w:val="0"/>
    <w:pPr>
      <w:ind w:left="1418" w:hanging="1418"/>
    </w:pPr>
  </w:style>
  <w:style w:type="paragraph" w:styleId="26">
    <w:name w:val="index 1"/>
    <w:basedOn w:val="1"/>
    <w:next w:val="1"/>
    <w:semiHidden/>
    <w:qFormat/>
    <w:uiPriority w:val="0"/>
    <w:pPr>
      <w:keepLines/>
      <w:spacing w:after="0"/>
    </w:pPr>
  </w:style>
  <w:style w:type="paragraph" w:styleId="27">
    <w:name w:val="index 2"/>
    <w:basedOn w:val="26"/>
    <w:next w:val="1"/>
    <w:semiHidden/>
    <w:uiPriority w:val="0"/>
    <w:pPr>
      <w:ind w:left="284"/>
    </w:pPr>
  </w:style>
  <w:style w:type="paragraph" w:styleId="28">
    <w:name w:val="annotation subject"/>
    <w:basedOn w:val="19"/>
    <w:next w:val="19"/>
    <w:semiHidden/>
    <w:qFormat/>
    <w:uiPriority w:val="0"/>
    <w:rPr>
      <w:b/>
      <w:bCs/>
    </w:rPr>
  </w:style>
  <w:style w:type="character" w:styleId="31">
    <w:name w:val="FollowedHyperlink"/>
    <w:qFormat/>
    <w:uiPriority w:val="0"/>
    <w:rPr>
      <w:color w:val="800080"/>
      <w:u w:val="single"/>
    </w:rPr>
  </w:style>
  <w:style w:type="character" w:styleId="32">
    <w:name w:val="Hyperlink"/>
    <w:qFormat/>
    <w:uiPriority w:val="0"/>
    <w:rPr>
      <w:color w:val="0000FF"/>
      <w:u w:val="single"/>
    </w:rPr>
  </w:style>
  <w:style w:type="character" w:styleId="33">
    <w:name w:val="annotation reference"/>
    <w:qFormat/>
    <w:uiPriority w:val="0"/>
    <w:rPr>
      <w:sz w:val="16"/>
    </w:rPr>
  </w:style>
  <w:style w:type="character" w:styleId="34">
    <w:name w:val="footnote reference"/>
    <w:semiHidden/>
    <w:qFormat/>
    <w:uiPriority w:val="0"/>
    <w:rPr>
      <w:b/>
      <w:position w:val="6"/>
      <w:sz w:val="16"/>
    </w:rPr>
  </w:style>
  <w:style w:type="paragraph" w:customStyle="1" w:styleId="3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3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37">
    <w:name w:val="TT"/>
    <w:basedOn w:val="2"/>
    <w:next w:val="1"/>
    <w:uiPriority w:val="0"/>
    <w:pPr>
      <w:outlineLvl w:val="9"/>
    </w:pPr>
  </w:style>
  <w:style w:type="paragraph" w:customStyle="1" w:styleId="38">
    <w:name w:val="TAH"/>
    <w:basedOn w:val="39"/>
    <w:qFormat/>
    <w:uiPriority w:val="0"/>
    <w:rPr>
      <w:b/>
    </w:rPr>
  </w:style>
  <w:style w:type="paragraph" w:customStyle="1" w:styleId="39">
    <w:name w:val="TAC"/>
    <w:basedOn w:val="40"/>
    <w:qFormat/>
    <w:uiPriority w:val="0"/>
    <w:pPr>
      <w:jc w:val="center"/>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F"/>
    <w:basedOn w:val="42"/>
    <w:qFormat/>
    <w:uiPriority w:val="0"/>
    <w:pPr>
      <w:keepNext w:val="0"/>
      <w:spacing w:before="0" w:after="240"/>
    </w:pPr>
  </w:style>
  <w:style w:type="paragraph" w:customStyle="1" w:styleId="42">
    <w:name w:val="TH"/>
    <w:basedOn w:val="1"/>
    <w:qFormat/>
    <w:uiPriority w:val="0"/>
    <w:pPr>
      <w:keepNext/>
      <w:keepLines/>
      <w:spacing w:before="60"/>
      <w:jc w:val="center"/>
    </w:pPr>
    <w:rPr>
      <w:rFonts w:ascii="Arial" w:hAnsi="Arial"/>
      <w:b/>
    </w:rPr>
  </w:style>
  <w:style w:type="paragraph" w:customStyle="1" w:styleId="43">
    <w:name w:val="NO"/>
    <w:basedOn w:val="1"/>
    <w:link w:val="73"/>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52">
    <w:name w:val="TAR"/>
    <w:basedOn w:val="40"/>
    <w:qFormat/>
    <w:uiPriority w:val="0"/>
    <w:pPr>
      <w:jc w:val="right"/>
    </w:pPr>
  </w:style>
  <w:style w:type="paragraph" w:customStyle="1" w:styleId="53">
    <w:name w:val="TAN"/>
    <w:basedOn w:val="40"/>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1">
    <w:name w:val="Editor's Note"/>
    <w:basedOn w:val="43"/>
    <w:qFormat/>
    <w:uiPriority w:val="0"/>
    <w:rPr>
      <w:color w:val="FF0000"/>
    </w:rPr>
  </w:style>
  <w:style w:type="paragraph" w:customStyle="1" w:styleId="62">
    <w:name w:val="B1"/>
    <w:basedOn w:val="23"/>
    <w:link w:val="74"/>
    <w:qFormat/>
    <w:uiPriority w:val="0"/>
    <w:pPr>
      <w:ind w:left="568" w:hanging="284"/>
    </w:p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5"/>
    <w:qFormat/>
    <w:uiPriority w:val="0"/>
    <w:pPr>
      <w:framePr w:hRule="auto" w:y="852"/>
    </w:pPr>
    <w:rPr>
      <w:i w:val="0"/>
      <w:sz w:val="40"/>
    </w:rPr>
  </w:style>
  <w:style w:type="paragraph" w:customStyle="1" w:styleId="68">
    <w:name w:val="CR Cover Page"/>
    <w:qFormat/>
    <w:uiPriority w:val="0"/>
    <w:pPr>
      <w:spacing w:after="120"/>
    </w:pPr>
    <w:rPr>
      <w:rFonts w:ascii="Arial" w:hAnsi="Arial" w:eastAsia="Times New Roman" w:cs="Times New Roman"/>
      <w:lang w:val="en-GB" w:eastAsia="en-US" w:bidi="ar-SA"/>
    </w:rPr>
  </w:style>
  <w:style w:type="paragraph" w:customStyle="1" w:styleId="69">
    <w:name w:val="First Change"/>
    <w:basedOn w:val="1"/>
    <w:uiPriority w:val="0"/>
    <w:pPr>
      <w:jc w:val="center"/>
    </w:pPr>
    <w:rPr>
      <w:color w:val="FF0000"/>
    </w:rPr>
  </w:style>
  <w:style w:type="character" w:customStyle="1" w:styleId="70">
    <w:name w:val="PL Char"/>
    <w:link w:val="51"/>
    <w:qFormat/>
    <w:uiPriority w:val="0"/>
    <w:rPr>
      <w:rFonts w:ascii="Courier New" w:hAnsi="Courier New"/>
      <w:sz w:val="16"/>
      <w:lang w:val="en-GB" w:eastAsia="en-US"/>
    </w:rPr>
  </w:style>
  <w:style w:type="paragraph" w:customStyle="1" w:styleId="71">
    <w:name w:val="Revision"/>
    <w:hidden/>
    <w:semiHidden/>
    <w:qFormat/>
    <w:uiPriority w:val="99"/>
    <w:rPr>
      <w:rFonts w:ascii="Times New Roman" w:hAnsi="Times New Roman" w:eastAsia="Times New Roman" w:cs="Times New Roman"/>
      <w:lang w:val="en-GB" w:eastAsia="en-US" w:bidi="ar-SA"/>
    </w:rPr>
  </w:style>
  <w:style w:type="paragraph" w:customStyle="1" w:styleId="72">
    <w:name w:val=" Char5 Char Char Char Char Char Char Char"/>
    <w:basedOn w:val="1"/>
    <w:semiHidden/>
    <w:uiPriority w:val="0"/>
    <w:pPr>
      <w:spacing w:after="160" w:line="240" w:lineRule="exact"/>
    </w:pPr>
    <w:rPr>
      <w:rFonts w:ascii="Arial" w:hAnsi="Arial" w:eastAsia="宋体" w:cs="Arial"/>
      <w:color w:val="0000FF"/>
      <w:kern w:val="2"/>
      <w:sz w:val="22"/>
      <w:szCs w:val="24"/>
      <w:lang w:val="en-US" w:eastAsia="zh-CN"/>
    </w:rPr>
  </w:style>
  <w:style w:type="character" w:customStyle="1" w:styleId="73">
    <w:name w:val="NO Zchn"/>
    <w:link w:val="43"/>
    <w:qFormat/>
    <w:uiPriority w:val="0"/>
    <w:rPr>
      <w:rFonts w:ascii="Times New Roman" w:hAnsi="Times New Roman"/>
      <w:lang w:val="en-GB" w:eastAsia="en-US"/>
    </w:rPr>
  </w:style>
  <w:style w:type="character" w:customStyle="1" w:styleId="74">
    <w:name w:val="B1 Zchn"/>
    <w:link w:val="62"/>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2780</Words>
  <Characters>16546</Characters>
  <Lines>137</Lines>
  <Paragraphs>38</Paragraphs>
  <TotalTime>0</TotalTime>
  <ScaleCrop>false</ScaleCrop>
  <LinksUpToDate>false</LinksUpToDate>
  <CharactersWithSpaces>19288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2023-10-19T06:27:00Z</dcterms:created>
  <dc:creator>Michael Sanders, John M Meredith</dc:creator>
  <cp:lastModifiedBy>Author</cp:lastModifiedBy>
  <cp:lastPrinted>2411-12-31T23:00:00Z</cp:lastPrinted>
  <dcterms:modified xsi:type="dcterms:W3CDTF">2023-10-26T01:33:53Z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B20836281F9D4EFCA286438F2638784E</vt:lpwstr>
  </property>
</Properties>
</file>